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D1F63"/>
          <w:sz w:val="36"/>
          <w:szCs w:val="36"/>
        </w:rPr>
      </w:pPr>
      <w:r>
        <w:rPr>
          <w:rFonts w:ascii="Roboto Slab" w:hAnsi="Roboto Slab"/>
          <w:b/>
          <w:bCs/>
          <w:color w:val="0D1F63"/>
          <w:sz w:val="36"/>
          <w:szCs w:val="36"/>
        </w:rPr>
        <w:t>Sobre el derecho de acceso a la información pública.</w:t>
      </w:r>
    </w:p>
    <w:p>
      <w:pPr>
        <w:pStyle w:val="Normal"/>
        <w:jc w:val="left"/>
        <w:rPr>
          <w:rFonts w:ascii="Roboto Slab" w:hAnsi="Roboto Slab"/>
          <w:b/>
          <w:b/>
          <w:bCs/>
          <w:color w:val="0D1F63"/>
          <w:sz w:val="36"/>
          <w:szCs w:val="36"/>
        </w:rPr>
      </w:pPr>
      <w:r>
        <w:rPr>
          <w:rFonts w:ascii="Roboto Slab" w:hAnsi="Roboto Slab"/>
          <w:b/>
          <w:bCs/>
          <w:color w:val="0D1F63"/>
          <w:sz w:val="36"/>
          <w:szCs w:val="36"/>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¿Qué es el derecho de acceso a la información pública?</w:t>
      </w:r>
    </w:p>
    <w:p>
      <w:pPr>
        <w:pStyle w:val="Normal"/>
        <w:jc w:val="left"/>
        <w:rPr>
          <w:rFonts w:ascii="IBM Plex Sans" w:hAnsi="IBM Plex Sans"/>
          <w:color w:val="000000"/>
          <w:sz w:val="22"/>
          <w:szCs w:val="22"/>
        </w:rPr>
      </w:pPr>
      <w:r>
        <w:rPr>
          <w:rFonts w:ascii="IBM Plex Sans" w:hAnsi="IBM Plex Sans"/>
          <w:color w:val="000000"/>
          <w:sz w:val="22"/>
          <w:szCs w:val="22"/>
        </w:rPr>
        <w:t>Es el derecho de acceso a acceder a información pública en los términos previstos en la Constitución, artículo 105.b), entendiéndose como información pública los contenidos o documentos, cualquiera que sea su soporte o formato, que obren en poder de la administración y que hayan sido elaborados o adquiridos en el ejercicio de sus funciones.</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¿Se puede pedir cualquier información?</w:t>
      </w:r>
    </w:p>
    <w:p>
      <w:pPr>
        <w:pStyle w:val="Normal"/>
        <w:jc w:val="left"/>
        <w:rPr>
          <w:rFonts w:ascii="IBM Plex Sans" w:hAnsi="IBM Plex Sans"/>
          <w:color w:val="000000"/>
          <w:sz w:val="22"/>
          <w:szCs w:val="22"/>
        </w:rPr>
      </w:pPr>
      <w:r>
        <w:rPr>
          <w:rFonts w:ascii="IBM Plex Sans" w:hAnsi="IBM Plex Sans"/>
          <w:color w:val="000000"/>
          <w:sz w:val="22"/>
          <w:szCs w:val="22"/>
        </w:rPr>
        <w:t>El derecho de acceso a la información está sujeto a ciertos límites que tienen como objetivo proteger otros bienes jurídicos que pueden quedar desprotegidos si se da la información. Es decir, los límites existen para proteger información que no debe ser pública porque, si lo fuera, podría dañar a una persona o al interés público.</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Los límites tasados en la Ley 19/2013 son los siguientes:</w:t>
      </w:r>
    </w:p>
    <w:p>
      <w:pPr>
        <w:pStyle w:val="Normal"/>
        <w:jc w:val="left"/>
        <w:rPr>
          <w:rFonts w:ascii="IBM Plex Sans" w:hAnsi="IBM Plex Sans"/>
          <w:color w:val="000000"/>
          <w:sz w:val="22"/>
          <w:szCs w:val="22"/>
        </w:rPr>
      </w:pPr>
      <w:r>
        <w:rPr>
          <w:rFonts w:ascii="IBM Plex Sans" w:hAnsi="IBM Plex Sans"/>
          <w:color w:val="000000"/>
          <w:sz w:val="22"/>
          <w:szCs w:val="22"/>
        </w:rPr>
        <w:t xml:space="preserve">₋ </w:t>
      </w:r>
      <w:r>
        <w:rPr>
          <w:rFonts w:ascii="IBM Plex Sans" w:hAnsi="IBM Plex Sans"/>
          <w:color w:val="000000"/>
          <w:sz w:val="22"/>
          <w:szCs w:val="22"/>
        </w:rPr>
        <w:t>La seguridad nacional.</w:t>
      </w:r>
    </w:p>
    <w:p>
      <w:pPr>
        <w:pStyle w:val="Normal"/>
        <w:jc w:val="left"/>
        <w:rPr>
          <w:rFonts w:ascii="IBM Plex Sans" w:hAnsi="IBM Plex Sans"/>
          <w:color w:val="000000"/>
          <w:sz w:val="22"/>
          <w:szCs w:val="22"/>
        </w:rPr>
      </w:pPr>
      <w:r>
        <w:rPr>
          <w:rFonts w:ascii="IBM Plex Sans" w:hAnsi="IBM Plex Sans"/>
          <w:color w:val="000000"/>
          <w:sz w:val="22"/>
          <w:szCs w:val="22"/>
        </w:rPr>
        <w:t xml:space="preserve">₋ </w:t>
      </w:r>
      <w:r>
        <w:rPr>
          <w:rFonts w:ascii="IBM Plex Sans" w:hAnsi="IBM Plex Sans"/>
          <w:color w:val="000000"/>
          <w:sz w:val="22"/>
          <w:szCs w:val="22"/>
        </w:rPr>
        <w:t>La defensa.</w:t>
      </w:r>
    </w:p>
    <w:p>
      <w:pPr>
        <w:pStyle w:val="Normal"/>
        <w:jc w:val="left"/>
        <w:rPr>
          <w:rFonts w:ascii="IBM Plex Sans" w:hAnsi="IBM Plex Sans"/>
          <w:color w:val="000000"/>
          <w:sz w:val="22"/>
          <w:szCs w:val="22"/>
        </w:rPr>
      </w:pPr>
      <w:r>
        <w:rPr>
          <w:rFonts w:ascii="IBM Plex Sans" w:hAnsi="IBM Plex Sans"/>
          <w:color w:val="000000"/>
          <w:sz w:val="22"/>
          <w:szCs w:val="22"/>
        </w:rPr>
        <w:t xml:space="preserve">₋ </w:t>
      </w:r>
      <w:r>
        <w:rPr>
          <w:rFonts w:ascii="IBM Plex Sans" w:hAnsi="IBM Plex Sans"/>
          <w:color w:val="000000"/>
          <w:sz w:val="22"/>
          <w:szCs w:val="22"/>
        </w:rPr>
        <w:t>Las relaciones exteriores.</w:t>
      </w:r>
    </w:p>
    <w:p>
      <w:pPr>
        <w:pStyle w:val="Normal"/>
        <w:jc w:val="left"/>
        <w:rPr>
          <w:rFonts w:ascii="IBM Plex Sans" w:hAnsi="IBM Plex Sans"/>
          <w:color w:val="000000"/>
          <w:sz w:val="22"/>
          <w:szCs w:val="22"/>
        </w:rPr>
      </w:pPr>
      <w:r>
        <w:rPr>
          <w:rFonts w:ascii="IBM Plex Sans" w:hAnsi="IBM Plex Sans"/>
          <w:color w:val="000000"/>
          <w:sz w:val="22"/>
          <w:szCs w:val="22"/>
        </w:rPr>
        <w:t>- La seguridad pública.</w:t>
      </w:r>
    </w:p>
    <w:p>
      <w:pPr>
        <w:pStyle w:val="Normal"/>
        <w:jc w:val="left"/>
        <w:rPr>
          <w:rFonts w:ascii="IBM Plex Sans" w:hAnsi="IBM Plex Sans"/>
          <w:color w:val="000000"/>
          <w:sz w:val="22"/>
          <w:szCs w:val="22"/>
        </w:rPr>
      </w:pPr>
      <w:r>
        <w:rPr>
          <w:rFonts w:ascii="IBM Plex Sans" w:hAnsi="IBM Plex Sans"/>
          <w:color w:val="000000"/>
          <w:sz w:val="22"/>
          <w:szCs w:val="22"/>
        </w:rPr>
        <w:t>- La prevención, investigación y sanción de los ilícitos penales, administrativos o disciplinarios.</w:t>
      </w:r>
    </w:p>
    <w:p>
      <w:pPr>
        <w:pStyle w:val="Normal"/>
        <w:jc w:val="left"/>
        <w:rPr>
          <w:rFonts w:ascii="IBM Plex Sans" w:hAnsi="IBM Plex Sans"/>
          <w:color w:val="000000"/>
          <w:sz w:val="22"/>
          <w:szCs w:val="22"/>
        </w:rPr>
      </w:pPr>
      <w:r>
        <w:rPr>
          <w:rFonts w:ascii="IBM Plex Sans" w:hAnsi="IBM Plex Sans"/>
          <w:color w:val="000000"/>
          <w:sz w:val="22"/>
          <w:szCs w:val="22"/>
        </w:rPr>
        <w:t>- La igualdad de las partes en los procesos judiciales y la tutela judicial efectiva.</w:t>
      </w:r>
    </w:p>
    <w:p>
      <w:pPr>
        <w:pStyle w:val="Normal"/>
        <w:jc w:val="left"/>
        <w:rPr>
          <w:rFonts w:ascii="IBM Plex Sans" w:hAnsi="IBM Plex Sans"/>
          <w:color w:val="000000"/>
          <w:sz w:val="22"/>
          <w:szCs w:val="22"/>
        </w:rPr>
      </w:pPr>
      <w:r>
        <w:rPr>
          <w:rFonts w:ascii="IBM Plex Sans" w:hAnsi="IBM Plex Sans"/>
          <w:color w:val="000000"/>
          <w:sz w:val="22"/>
          <w:szCs w:val="22"/>
        </w:rPr>
        <w:t>- Las funciones administrativas de vigilancia, inspección y control.</w:t>
      </w:r>
    </w:p>
    <w:p>
      <w:pPr>
        <w:pStyle w:val="Normal"/>
        <w:jc w:val="left"/>
        <w:rPr>
          <w:rFonts w:ascii="IBM Plex Sans" w:hAnsi="IBM Plex Sans"/>
          <w:color w:val="000000"/>
          <w:sz w:val="22"/>
          <w:szCs w:val="22"/>
        </w:rPr>
      </w:pPr>
      <w:r>
        <w:rPr>
          <w:rFonts w:ascii="IBM Plex Sans" w:hAnsi="IBM Plex Sans"/>
          <w:color w:val="000000"/>
          <w:sz w:val="22"/>
          <w:szCs w:val="22"/>
        </w:rPr>
        <w:t>- Los intereses económicos y comerciales.</w:t>
      </w:r>
    </w:p>
    <w:p>
      <w:pPr>
        <w:pStyle w:val="Normal"/>
        <w:jc w:val="left"/>
        <w:rPr>
          <w:rFonts w:ascii="IBM Plex Sans" w:hAnsi="IBM Plex Sans"/>
          <w:color w:val="000000"/>
          <w:sz w:val="22"/>
          <w:szCs w:val="22"/>
        </w:rPr>
      </w:pPr>
      <w:r>
        <w:rPr>
          <w:rFonts w:ascii="IBM Plex Sans" w:hAnsi="IBM Plex Sans"/>
          <w:color w:val="000000"/>
          <w:sz w:val="22"/>
          <w:szCs w:val="22"/>
        </w:rPr>
        <w:t>- La política económica y monetaria.</w:t>
      </w:r>
    </w:p>
    <w:p>
      <w:pPr>
        <w:pStyle w:val="Normal"/>
        <w:jc w:val="left"/>
        <w:rPr>
          <w:rFonts w:ascii="IBM Plex Sans" w:hAnsi="IBM Plex Sans"/>
          <w:color w:val="000000"/>
          <w:sz w:val="22"/>
          <w:szCs w:val="22"/>
        </w:rPr>
      </w:pPr>
      <w:r>
        <w:rPr>
          <w:rFonts w:ascii="IBM Plex Sans" w:hAnsi="IBM Plex Sans"/>
          <w:color w:val="000000"/>
          <w:sz w:val="22"/>
          <w:szCs w:val="22"/>
        </w:rPr>
        <w:t>- El secreto profesional y la propiedad intelectual e industrial.</w:t>
      </w:r>
    </w:p>
    <w:p>
      <w:pPr>
        <w:pStyle w:val="Normal"/>
        <w:jc w:val="left"/>
        <w:rPr>
          <w:rFonts w:ascii="IBM Plex Sans" w:hAnsi="IBM Plex Sans"/>
          <w:color w:val="000000"/>
          <w:sz w:val="22"/>
          <w:szCs w:val="22"/>
        </w:rPr>
      </w:pPr>
      <w:r>
        <w:rPr>
          <w:rFonts w:ascii="IBM Plex Sans" w:hAnsi="IBM Plex Sans"/>
          <w:color w:val="000000"/>
          <w:sz w:val="22"/>
          <w:szCs w:val="22"/>
        </w:rPr>
        <w:t>- La garantía de la confidencialidad o el secreto requerido en procesos de toma de decisión.</w:t>
      </w:r>
    </w:p>
    <w:p>
      <w:pPr>
        <w:pStyle w:val="Normal"/>
        <w:jc w:val="left"/>
        <w:rPr>
          <w:rFonts w:ascii="IBM Plex Sans" w:hAnsi="IBM Plex Sans"/>
          <w:color w:val="000000"/>
          <w:sz w:val="22"/>
          <w:szCs w:val="22"/>
        </w:rPr>
      </w:pPr>
      <w:r>
        <w:rPr>
          <w:rFonts w:ascii="IBM Plex Sans" w:hAnsi="IBM Plex Sans"/>
          <w:color w:val="000000"/>
          <w:sz w:val="22"/>
          <w:szCs w:val="22"/>
        </w:rPr>
        <w:t>- La protección del medio ambiente.</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¿Cómo se aplican los límites?</w:t>
      </w:r>
    </w:p>
    <w:p>
      <w:pPr>
        <w:pStyle w:val="Normal"/>
        <w:jc w:val="left"/>
        <w:rPr>
          <w:rFonts w:ascii="IBM Plex Sans" w:hAnsi="IBM Plex Sans"/>
          <w:color w:val="000000"/>
          <w:sz w:val="22"/>
          <w:szCs w:val="22"/>
        </w:rPr>
      </w:pPr>
      <w:r>
        <w:rPr>
          <w:rFonts w:ascii="IBM Plex Sans" w:hAnsi="IBM Plex Sans"/>
          <w:color w:val="000000"/>
          <w:sz w:val="22"/>
          <w:szCs w:val="22"/>
        </w:rPr>
        <w:t>El órgano al que se le solicita una información cuya publicación considera que puede</w:t>
      </w:r>
    </w:p>
    <w:p>
      <w:pPr>
        <w:pStyle w:val="Normal"/>
        <w:jc w:val="left"/>
        <w:rPr>
          <w:rFonts w:ascii="IBM Plex Sans" w:hAnsi="IBM Plex Sans"/>
          <w:color w:val="000000"/>
          <w:sz w:val="22"/>
          <w:szCs w:val="22"/>
        </w:rPr>
      </w:pPr>
      <w:r>
        <w:rPr>
          <w:rFonts w:ascii="IBM Plex Sans" w:hAnsi="IBM Plex Sans"/>
          <w:color w:val="000000"/>
          <w:sz w:val="22"/>
          <w:szCs w:val="22"/>
        </w:rPr>
        <w:t>perjudicar a alguno de los límites deberá valorar si, efectivamente, se produce un daño si se provee esa información.</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¿Por qué existe protección de datos personales?</w:t>
      </w:r>
    </w:p>
    <w:p>
      <w:pPr>
        <w:pStyle w:val="Normal"/>
        <w:jc w:val="left"/>
        <w:rPr>
          <w:rFonts w:ascii="IBM Plex Sans" w:hAnsi="IBM Plex Sans"/>
          <w:color w:val="000000"/>
          <w:sz w:val="22"/>
          <w:szCs w:val="22"/>
        </w:rPr>
      </w:pPr>
      <w:r>
        <w:rPr>
          <w:rFonts w:ascii="IBM Plex Sans" w:hAnsi="IBM Plex Sans"/>
          <w:color w:val="000000"/>
          <w:sz w:val="22"/>
          <w:szCs w:val="22"/>
        </w:rPr>
        <w:t>Si la información solicitada contuviera datos especialmente protegidos, el acceso únicamente se podrá autorizar en caso de que se contase con el consentimiento expreso y por escrito del afectado.</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¿Qué es el acceso parcial?</w:t>
      </w:r>
    </w:p>
    <w:p>
      <w:pPr>
        <w:pStyle w:val="Normal"/>
        <w:jc w:val="left"/>
        <w:rPr>
          <w:rFonts w:ascii="IBM Plex Sans" w:hAnsi="IBM Plex Sans"/>
          <w:color w:val="000000"/>
          <w:sz w:val="22"/>
          <w:szCs w:val="22"/>
        </w:rPr>
      </w:pPr>
      <w:r>
        <w:rPr>
          <w:rFonts w:ascii="IBM Plex Sans" w:hAnsi="IBM Plex Sans"/>
          <w:color w:val="000000"/>
          <w:sz w:val="22"/>
          <w:szCs w:val="22"/>
        </w:rPr>
        <w:t>En los casos en los que se solicite información en la que parte de la misma esté sometida a alguna causa de límite del derecho, se admitirá parcialmente la solicitud y se indicará al solicitante la información que ha sido omitida.</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¿A nivel estatal qué puede hacer un ciudadano al que se le deniega?</w:t>
      </w:r>
    </w:p>
    <w:p>
      <w:pPr>
        <w:pStyle w:val="Normal"/>
        <w:jc w:val="left"/>
        <w:rPr>
          <w:rFonts w:ascii="IBM Plex Sans" w:hAnsi="IBM Plex Sans"/>
          <w:color w:val="000000"/>
          <w:sz w:val="22"/>
          <w:szCs w:val="22"/>
        </w:rPr>
      </w:pPr>
      <w:r>
        <w:rPr>
          <w:rFonts w:ascii="IBM Plex Sans" w:hAnsi="IBM Plex Sans"/>
          <w:color w:val="000000"/>
          <w:sz w:val="22"/>
          <w:szCs w:val="22"/>
        </w:rPr>
        <w:t xml:space="preserve">El ciudadano/a puede presentar una </w:t>
      </w:r>
      <w:hyperlink r:id="rId2">
        <w:r>
          <w:rPr>
            <w:rStyle w:val="EnlacedeInternet"/>
            <w:rFonts w:ascii="IBM Plex Sans" w:hAnsi="IBM Plex Sans"/>
            <w:b/>
            <w:color w:val="000000"/>
            <w:sz w:val="22"/>
            <w:szCs w:val="22"/>
          </w:rPr>
          <w:t>reclamación ante el Consejo de Transparencia y Buen Gobierno</w:t>
        </w:r>
      </w:hyperlink>
      <w:r>
        <w:rPr>
          <w:rFonts w:ascii="IBM Plex Sans" w:hAnsi="IBM Plex Sans"/>
          <w:color w:val="000000"/>
          <w:sz w:val="22"/>
          <w:szCs w:val="22"/>
        </w:rPr>
        <w:t>, órgano independiente encargado de velar por el correcto cumplimiento de las disposiciones de la Ley 19/2013, de Transparencia, Acceso a la Información Pública y Buen Gobierno.</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El Consejo de la Transparencia y Buen Gobierno es un organismo público previsto en la disposición adicional décima de la Ley 6/1997, de 14 de abril, de Organización y</w:t>
      </w:r>
    </w:p>
    <w:p>
      <w:pPr>
        <w:pStyle w:val="Normal"/>
        <w:jc w:val="left"/>
        <w:rPr>
          <w:rFonts w:ascii="IBM Plex Sans" w:hAnsi="IBM Plex Sans"/>
          <w:color w:val="000000"/>
          <w:sz w:val="22"/>
          <w:szCs w:val="22"/>
        </w:rPr>
      </w:pPr>
      <w:r>
        <w:rPr>
          <w:rFonts w:ascii="IBM Plex Sans" w:hAnsi="IBM Plex Sans"/>
          <w:color w:val="000000"/>
          <w:sz w:val="22"/>
          <w:szCs w:val="22"/>
        </w:rPr>
        <w:t>Funcionamiento de la Administración General del Estado. Está adscrito al Ministerio de Hacienda y Administraciones Públicas, tiene personalidad jurídica propia y plena capacidad de obrar, actuando con autonomía y plena independencia en el cumplimiento de sus fines.</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color w:val="000000"/>
          <w:sz w:val="22"/>
          <w:szCs w:val="22"/>
        </w:rPr>
      </w:pPr>
      <w:r>
        <w:rPr>
          <w:rFonts w:ascii="IBM Plex Sans" w:hAnsi="IBM Plex Sans"/>
          <w:color w:val="000000"/>
          <w:sz w:val="22"/>
          <w:szCs w:val="22"/>
        </w:rPr>
        <w:t>El Consejo de la Transparencia y Buen Gobierno tiene por finalidad promover la transparencia de la actividad pública, velar por el cumplimiento de las obligaciones de publicidad, salvaguardar el ejercicio de derecho de acceso a la información pública y garantizar la observancia de las disposiciones de buen gobierno.</w:t>
      </w:r>
    </w:p>
    <w:sectPr>
      <w:headerReference w:type="default" r:id="rId3"/>
      <w:footerReference w:type="default" r:id="rId4"/>
      <w:type w:val="nextPage"/>
      <w:pgSz w:w="11906" w:h="16838"/>
      <w:pgMar w:left="1701" w:right="1701" w:header="708" w:top="2268" w:footer="1417" w:bottom="19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IBM Plex Sans" w:hAnsi="IBM Plex Sans" w:cs="IBM Plex Sans"/>
        <w:b/>
        <w:b/>
        <w:bCs/>
        <w:sz w:val="20"/>
        <w:szCs w:val="20"/>
      </w:rPr>
    </w:pPr>
    <w:r>
      <w:rPr>
        <w:rFonts w:cs="IBM Plex Sans" w:ascii="IBM Plex Sans" w:hAnsi="IBM Plex Sans"/>
        <w:b/>
        <w:bCs/>
        <w:sz w:val="20"/>
        <w:szCs w:val="20"/>
      </w:rPr>
      <w:t>Portal de Transparencia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0" distR="0" simplePos="0" locked="0" layoutInCell="1" allowOverlap="1" relativeHeight="3">
          <wp:simplePos x="0" y="0"/>
          <wp:positionH relativeFrom="column">
            <wp:posOffset>-809625</wp:posOffset>
          </wp:positionH>
          <wp:positionV relativeFrom="paragraph">
            <wp:posOffset>-360045</wp:posOffset>
          </wp:positionV>
          <wp:extent cx="7019925" cy="131699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rcRect l="-3" t="-16" r="-3" b="-16"/>
                  <a:stretch>
                    <a:fillRect/>
                  </a:stretch>
                </pic:blipFill>
                <pic:spPr bwMode="auto">
                  <a:xfrm>
                    <a:off x="0" y="0"/>
                    <a:ext cx="7019925" cy="13169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Calibri" w:hAnsi="Calibri" w:eastAsia="Times New Roman" w:cs="Calibri"/>
      <w:color w:val="00000A"/>
      <w:kern w:val="2"/>
      <w:sz w:val="24"/>
      <w:szCs w:val="24"/>
      <w:lang w:val="es-ES" w:eastAsia="zh-CN"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rPr>
  </w:style>
  <w:style w:type="character" w:styleId="TextoindependienteCar">
    <w:name w:val="Texto independiente Car"/>
    <w:basedOn w:val="DefaultParagraphFont"/>
    <w:qFormat/>
    <w:rPr>
      <w:rFonts w:ascii="Calibri" w:hAnsi="Calibri" w:eastAsia="Times New Roman" w:cs="Calibri"/>
      <w:kern w:val="2"/>
      <w:sz w:val="24"/>
      <w:szCs w:val="24"/>
    </w:rPr>
  </w:style>
  <w:style w:type="character" w:styleId="EncabezadoCar">
    <w:name w:val="Encabezado Car"/>
    <w:basedOn w:val="DefaultParagraphFont"/>
    <w:qFormat/>
    <w:rPr>
      <w:rFonts w:ascii="Calibri" w:hAnsi="Calibri" w:eastAsia="Times New Roman" w:cs="Calibri"/>
      <w:kern w:val="2"/>
      <w:sz w:val="24"/>
      <w:szCs w:val="24"/>
    </w:rPr>
  </w:style>
  <w:style w:type="character" w:styleId="PiedepginaCar">
    <w:name w:val="Pie de página Car"/>
    <w:basedOn w:val="DefaultParagraphFont"/>
    <w:qFormat/>
    <w:rPr>
      <w:rFonts w:ascii="Calibri" w:hAnsi="Calibri" w:eastAsia="Times New Roman" w:cs="Calibri"/>
      <w:kern w:val="2"/>
      <w:sz w:val="24"/>
      <w:szCs w:val="24"/>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Epgrafe">
    <w:name w:val="Epígrafe"/>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ejodetransparencia.es/ct_Home/te-ayudamos/Como_reclamar.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20</TotalTime>
  <Application>LibreOffice/6.4.3.2$Windows_X86_64 LibreOffice_project/747b5d0ebf89f41c860ec2a39efd7cb15b54f2d8</Application>
  <Pages>2</Pages>
  <Words>529</Words>
  <CharactersWithSpaces>3321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2021-03-31T08:50:58Z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