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rPr>
      </w:pPr>
      <w:r>
        <w:rPr>
          <w:rFonts w:ascii="Roboto Slab" w:hAnsi="Roboto Slab"/>
          <w:b/>
          <w:bCs/>
          <w:color w:val="2A265A"/>
          <w:sz w:val="36"/>
          <w:szCs w:val="36"/>
        </w:rPr>
        <w:t>D</w:t>
      </w:r>
      <w:r>
        <w:rPr>
          <w:rFonts w:ascii="Roboto Slab" w:hAnsi="Roboto Slab"/>
          <w:b/>
          <w:bCs/>
          <w:color w:val="2A265A"/>
          <w:sz w:val="36"/>
          <w:szCs w:val="36"/>
        </w:rPr>
        <w:t xml:space="preserve">erecho de la ciudadanía a reclamar ante el </w:t>
      </w:r>
      <w:r>
        <w:rPr>
          <w:rFonts w:ascii="Roboto Slab" w:hAnsi="Roboto Slab"/>
          <w:b/>
          <w:bCs/>
          <w:color w:val="2A265A"/>
          <w:sz w:val="36"/>
          <w:szCs w:val="36"/>
        </w:rPr>
        <w:t>C</w:t>
      </w:r>
      <w:r>
        <w:rPr>
          <w:rFonts w:ascii="Roboto Slab" w:hAnsi="Roboto Slab"/>
          <w:b/>
          <w:bCs/>
          <w:color w:val="2A265A"/>
          <w:sz w:val="36"/>
          <w:szCs w:val="36"/>
        </w:rPr>
        <w:t xml:space="preserve">omisionado de </w:t>
      </w:r>
      <w:r>
        <w:rPr>
          <w:rFonts w:ascii="Roboto Slab" w:hAnsi="Roboto Slab"/>
          <w:b/>
          <w:bCs/>
          <w:color w:val="2A265A"/>
          <w:sz w:val="36"/>
          <w:szCs w:val="36"/>
        </w:rPr>
        <w:t>T</w:t>
      </w:r>
      <w:r>
        <w:rPr>
          <w:rFonts w:ascii="Roboto Slab" w:hAnsi="Roboto Slab"/>
          <w:b/>
          <w:bCs/>
          <w:color w:val="2A265A"/>
          <w:sz w:val="36"/>
          <w:szCs w:val="36"/>
        </w:rPr>
        <w:t>ransparencia en el caso de que al solicitante no se le conceda acceso a la información solicitada.</w:t>
      </w:r>
    </w:p>
    <w:p>
      <w:pPr>
        <w:pStyle w:val="Normal"/>
        <w:jc w:val="left"/>
        <w:rPr/>
      </w:pPr>
      <w:r>
        <w:rPr/>
        <w:br/>
      </w:r>
      <w:r>
        <w:rPr>
          <w:rFonts w:ascii="IBM Plex Sans" w:hAnsi="IBM Plex Sans"/>
          <w:color w:val="040404"/>
          <w:sz w:val="22"/>
          <w:szCs w:val="22"/>
        </w:rPr>
        <w:t>Según se detalla en la Ley 12/2014, de 26 de diciembre, de Transparencia y de acceso a la información pública, en su artículo 51 dice lo siguiente:</w:t>
      </w:r>
    </w:p>
    <w:p>
      <w:pPr>
        <w:pStyle w:val="Normal"/>
        <w:jc w:val="left"/>
        <w:rPr>
          <w:rFonts w:ascii="IBM Plex Sans" w:hAnsi="IBM Plex Sans"/>
          <w:color w:val="040404"/>
          <w:sz w:val="22"/>
          <w:szCs w:val="22"/>
        </w:rPr>
      </w:pPr>
      <w:r>
        <w:rPr>
          <w:rFonts w:ascii="IBM Plex Sans" w:hAnsi="IBM Plex Sans"/>
          <w:color w:val="040404"/>
          <w:sz w:val="22"/>
          <w:szCs w:val="22"/>
        </w:rPr>
      </w:r>
    </w:p>
    <w:p>
      <w:pPr>
        <w:pStyle w:val="Normal"/>
        <w:jc w:val="left"/>
        <w:rPr>
          <w:rFonts w:ascii="IBM Plex Sans" w:hAnsi="IBM Plex Sans"/>
          <w:color w:val="040404"/>
          <w:sz w:val="22"/>
          <w:szCs w:val="22"/>
        </w:rPr>
      </w:pPr>
      <w:r>
        <w:rPr>
          <w:rFonts w:ascii="IBM Plex Sans" w:hAnsi="IBM Plex Sans"/>
          <w:color w:val="040404"/>
          <w:sz w:val="22"/>
          <w:szCs w:val="22"/>
        </w:rPr>
        <w:t>Artículo 51. Medios de impugnación.</w:t>
      </w:r>
    </w:p>
    <w:p>
      <w:pPr>
        <w:pStyle w:val="Normal"/>
        <w:jc w:val="left"/>
        <w:rPr>
          <w:rFonts w:ascii="IBM Plex Sans" w:hAnsi="IBM Plex Sans"/>
          <w:color w:val="040404"/>
          <w:sz w:val="22"/>
          <w:szCs w:val="22"/>
        </w:rPr>
      </w:pPr>
      <w:r>
        <w:rPr>
          <w:rFonts w:ascii="IBM Plex Sans" w:hAnsi="IBM Plex Sans"/>
          <w:color w:val="040404"/>
          <w:sz w:val="22"/>
          <w:szCs w:val="22"/>
        </w:rPr>
        <w:t>1. Contra la resolución, expresa o presunta, de la solicitud de acceso podrá interponerse reclamación ante el Comisionado de Transparencia y Acceso a la</w:t>
        <w:br/>
        <w:t>Información con carácter potestativo y previo a su impugnación en vía contencioso administrativa. De acuerdo con lo establecido en la legislación básica estatal, dicha reclamación tiene la consideración de sustitutiva de los recursos administrativos de conformidad con lo dispuesto en el artículo 107.2 de la Ley 30/1992, de 26 de noviembre, de Régimen Jurídico de las Administraciones Públicas y del Procedimiento Administrativo Común.</w:t>
      </w:r>
    </w:p>
    <w:p>
      <w:pPr>
        <w:pStyle w:val="Normal"/>
        <w:jc w:val="left"/>
        <w:rPr>
          <w:rFonts w:ascii="IBM Plex Sans" w:hAnsi="IBM Plex Sans"/>
          <w:color w:val="040404"/>
          <w:sz w:val="22"/>
          <w:szCs w:val="22"/>
        </w:rPr>
      </w:pPr>
      <w:r>
        <w:rPr>
          <w:rFonts w:ascii="IBM Plex Sans" w:hAnsi="IBM Plex Sans"/>
          <w:color w:val="040404"/>
          <w:sz w:val="22"/>
          <w:szCs w:val="22"/>
        </w:rPr>
      </w:r>
    </w:p>
    <w:p>
      <w:pPr>
        <w:pStyle w:val="Normal"/>
        <w:jc w:val="left"/>
        <w:rPr>
          <w:rFonts w:ascii="IBM Plex Sans" w:hAnsi="IBM Plex Sans"/>
          <w:color w:val="040404"/>
          <w:sz w:val="22"/>
          <w:szCs w:val="22"/>
        </w:rPr>
      </w:pPr>
      <w:r>
        <w:rPr>
          <w:rFonts w:ascii="IBM Plex Sans" w:hAnsi="IBM Plex Sans"/>
          <w:color w:val="040404"/>
          <w:sz w:val="22"/>
          <w:szCs w:val="22"/>
        </w:rPr>
        <w:t>2. No obstante lo dispuesto en el apartado anterior, contra las resoluciones dictadas por los órganos previstos en las letras a), b) y c) del artículo 2.2 solo cabrá la interposición de recurso contencioso-administrativo.</w:t>
      </w:r>
    </w:p>
    <w:p>
      <w:pPr>
        <w:pStyle w:val="Normal"/>
        <w:jc w:val="left"/>
        <w:rPr/>
      </w:pPr>
      <w:r>
        <w:rPr>
          <w:rFonts w:ascii="IBM Plex Sans" w:hAnsi="IBM Plex Sans"/>
          <w:b w:val="false"/>
          <w:i w:val="false"/>
          <w:caps w:val="false"/>
          <w:smallCaps w:val="false"/>
          <w:color w:val="040404"/>
          <w:spacing w:val="0"/>
          <w:sz w:val="22"/>
          <w:szCs w:val="22"/>
        </w:rPr>
        <w:br/>
        <w:t>Las instrucciones y formulario de reclamación que establece el Comisionado de Transparencia en Canarias se pueden consultar en la siguiente web:</w:t>
        <w:br/>
      </w:r>
      <w:hyperlink r:id="rId2" w:tgtFrame="_blank">
        <w:r>
          <w:rPr>
            <w:rStyle w:val="EnlacedeInternet"/>
            <w:rFonts w:ascii="IBM Plex Sans" w:hAnsi="IBM Plex Sans"/>
            <w:b/>
            <w:b/>
            <w:bCs/>
            <w:i w:val="false"/>
            <w:caps w:val="false"/>
            <w:smallCaps w:val="false"/>
            <w:strike w:val="false"/>
            <w:dstrike w:val="false"/>
            <w:color w:val="040404"/>
            <w:spacing w:val="0"/>
            <w:sz w:val="22"/>
            <w:szCs w:val="22"/>
            <w:u w:val="none"/>
            <w:effect w:val="none"/>
          </w:rPr>
          <w:t>https://www.transparenciacanarias.org/como-reclamar/</w:t>
        </w:r>
      </w:hyperlink>
    </w:p>
    <w:p>
      <w:pPr>
        <w:pStyle w:val="Normal"/>
        <w:rPr>
          <w:rFonts w:ascii="IBM Plex Sans" w:hAnsi="IBM Plex Sans" w:cs="IBM Plex Sans"/>
          <w:color w:val="000000"/>
          <w:sz w:val="22"/>
          <w:szCs w:val="22"/>
        </w:rPr>
      </w:pPr>
      <w:r>
        <w:rPr>
          <w:rFonts w:cs="IBM Plex Sans" w:ascii="IBM Plex Sans" w:hAnsi="IBM Plex Sans"/>
          <w:color w:val="000000"/>
          <w:sz w:val="22"/>
          <w:szCs w:val="22"/>
        </w:rPr>
      </w:r>
    </w:p>
    <w:sectPr>
      <w:headerReference w:type="default" r:id="rId3"/>
      <w:footerReference w:type="default" r:id="rId4"/>
      <w:type w:val="nextPage"/>
      <w:pgSz w:w="11906" w:h="16838"/>
      <w:pgMar w:left="1701" w:right="1701" w:header="708" w:top="2268" w:footer="1417" w:bottom="1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IBM Plex Sans" w:hAnsi="IBM Plex Sans" w:eastAsia="IBM Plex Sans" w:cs="IBM Plex Sans"/>
        <w:b/>
        <w:b/>
        <w:bCs/>
        <w:sz w:val="20"/>
        <w:szCs w:val="20"/>
      </w:rPr>
    </w:pPr>
    <w:r>
      <w:rPr>
        <w:rFonts w:eastAsia="IBM Plex Sans" w:cs="IBM Plex Sans" w:ascii="IBM Plex Sans" w:hAnsi="IBM Plex Sans"/>
        <w:b/>
        <w:bCs/>
        <w:sz w:val="20"/>
        <w:szCs w:val="20"/>
      </w:rPr>
      <w:t>Portal de Transparencia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2">
          <wp:simplePos x="0" y="0"/>
          <wp:positionH relativeFrom="column">
            <wp:posOffset>-675640</wp:posOffset>
          </wp:positionH>
          <wp:positionV relativeFrom="paragraph">
            <wp:posOffset>-86995</wp:posOffset>
          </wp:positionV>
          <wp:extent cx="1494790" cy="82740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494790" cy="827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eastAsia="zh-CN"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bidi="zxx"/>
    </w:rPr>
  </w:style>
  <w:style w:type="character" w:styleId="Smbolosdenumeracin">
    <w:name w:val="Símbolos de numeración"/>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nsparenciacanarias.org/como-reclama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TotalTime>
  <Application>LibreOffice/6.4.3.2$Windows_X86_64 LibreOffice_project/747b5d0ebf89f41c860ec2a39efd7cb15b54f2d8</Application>
  <Pages>1</Pages>
  <Words>205</Words>
  <CharactersWithSpaces>1372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2021-03-30T14:03:06Z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