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rStyle w:val="Muydestacado"/>
          <w:rFonts w:ascii="Roboto Slab" w:hAnsi="Roboto Slab"/>
          <w:color w:val="000080"/>
          <w:sz w:val="36"/>
          <w:szCs w:val="36"/>
        </w:rPr>
        <w:t>3. Información relativa a las funciones que desarrolla la entidad.</w:t>
      </w:r>
    </w:p>
    <w:p>
      <w:pPr>
        <w:pStyle w:val="Normal"/>
        <w:jc w:val="left"/>
        <w:rPr>
          <w:rStyle w:val="Muydestacado"/>
          <w:rFonts w:ascii="IBM Plex Sans" w:hAnsi="IBM Plex Sans"/>
          <w:b w:val="false"/>
          <w:color w:val="000000"/>
          <w:sz w:val="22"/>
          <w:szCs w:val="22"/>
        </w:rPr>
      </w:pPr>
      <w:r>
        <w:rPr/>
      </w:r>
    </w:p>
    <w:p>
      <w:pPr>
        <w:pStyle w:val="Normal"/>
        <w:jc w:val="left"/>
        <w:rPr/>
      </w:pPr>
      <w:r>
        <w:rPr>
          <w:rStyle w:val="Muydestacado"/>
          <w:rFonts w:ascii="IBM Plex Sans" w:hAnsi="IBM Plex Sans"/>
          <w:b w:val="false"/>
          <w:color w:val="000000"/>
          <w:sz w:val="22"/>
          <w:szCs w:val="22"/>
        </w:rPr>
        <w:t xml:space="preserve">Tal y como consta en el artículo 2 de los </w:t>
      </w:r>
      <w:hyperlink r:id="rId2" w:tgtFrame="_blank">
        <w:r>
          <w:rPr>
            <w:rStyle w:val="EnlacedeInternet"/>
            <w:rFonts w:ascii="IBM Plex Sans" w:hAnsi="IBM Plex Sans"/>
            <w:b/>
            <w:bCs/>
            <w:color w:val="000000"/>
            <w:sz w:val="22"/>
            <w:szCs w:val="22"/>
            <w:u w:val="single"/>
          </w:rPr>
          <w:t>estatutos</w:t>
        </w:r>
      </w:hyperlink>
      <w:r>
        <w:rPr>
          <w:rStyle w:val="Muydestacado"/>
          <w:rFonts w:ascii="IBM Plex Sans" w:hAnsi="IBM Plex Sans"/>
          <w:b w:val="false"/>
          <w:color w:val="000000"/>
          <w:sz w:val="22"/>
          <w:szCs w:val="22"/>
        </w:rPr>
        <w:t xml:space="preserve">  </w:t>
      </w:r>
      <w:r>
        <w:rPr>
          <w:rStyle w:val="Muydestacado"/>
          <w:rFonts w:ascii="IBM Plex Sans" w:hAnsi="IBM Plex Sans"/>
          <w:b w:val="false"/>
          <w:color w:val="000000"/>
          <w:sz w:val="22"/>
          <w:szCs w:val="22"/>
        </w:rPr>
        <w:t>(</w:t>
      </w:r>
      <w:hyperlink r:id="rId3" w:tgtFrame="_blank">
        <w:r>
          <w:rPr>
            <w:rStyle w:val="EnlacedeInternet"/>
            <w:rFonts w:ascii="Calibri;sans-serif" w:hAnsi="Calibri;sans-serif"/>
            <w:b/>
            <w:b/>
            <w:bCs/>
            <w:color w:val="000000"/>
            <w:sz w:val="24"/>
            <w:szCs w:val="22"/>
          </w:rPr>
          <w:t>.odt (397 KB)</w:t>
        </w:r>
      </w:hyperlink>
      <w:r>
        <w:rPr>
          <w:rStyle w:val="Muydestacado"/>
          <w:rFonts w:ascii="Calibri;sans-serif" w:hAnsi="Calibri;sans-serif"/>
          <w:b/>
          <w:color w:val="000000"/>
          <w:sz w:val="24"/>
          <w:szCs w:val="22"/>
        </w:rPr>
        <w:t xml:space="preserve">     </w:t>
      </w:r>
      <w:hyperlink r:id="rId4" w:tgtFrame="_blank">
        <w:r>
          <w:rPr>
            <w:rStyle w:val="EnlacedeInternet"/>
            <w:rFonts w:ascii="Calibri;sans-serif" w:hAnsi="Calibri;sans-serif"/>
            <w:b/>
            <w:b/>
            <w:bCs/>
            <w:color w:val="000000"/>
            <w:sz w:val="24"/>
            <w:szCs w:val="22"/>
          </w:rPr>
          <w:t>.txt (13 KB)</w:t>
        </w:r>
      </w:hyperlink>
      <w:r>
        <w:rPr>
          <w:rStyle w:val="Muydestacado"/>
          <w:rFonts w:ascii="Calibri;sans-serif" w:hAnsi="Calibri;sans-serif"/>
          <w:b/>
          <w:color w:val="000000"/>
          <w:sz w:val="24"/>
          <w:szCs w:val="22"/>
        </w:rPr>
        <w:t>     </w:t>
      </w:r>
      <w:hyperlink r:id="rId5" w:tgtFrame="_blank">
        <w:r>
          <w:rPr>
            <w:rStyle w:val="EnlacedeInternet"/>
            <w:rFonts w:ascii="Calibri;sans-serif" w:hAnsi="Calibri;sans-serif"/>
            <w:b/>
            <w:b/>
            <w:bCs/>
            <w:color w:val="000000"/>
            <w:sz w:val="24"/>
            <w:szCs w:val="22"/>
          </w:rPr>
          <w:t>.docx (381 KB)</w:t>
        </w:r>
      </w:hyperlink>
      <w:r>
        <w:rPr>
          <w:rStyle w:val="Muydestacado"/>
          <w:rFonts w:ascii="Calibri;sans-serif" w:hAnsi="Calibri;sans-serif"/>
          <w:b/>
          <w:color w:val="000000"/>
          <w:sz w:val="24"/>
          <w:szCs w:val="22"/>
        </w:rPr>
        <w:t xml:space="preserve">     </w:t>
      </w:r>
      <w:hyperlink r:id="rId6" w:tgtFrame="_blank">
        <w:r>
          <w:rPr>
            <w:rStyle w:val="EnlacedeInternet"/>
            <w:rFonts w:ascii="Calibri;sans-serif" w:hAnsi="Calibri;sans-serif"/>
            <w:b/>
            <w:b/>
            <w:bCs/>
            <w:color w:val="000000"/>
            <w:sz w:val="24"/>
            <w:szCs w:val="22"/>
          </w:rPr>
          <w:t>.pdf (57 KB)</w:t>
        </w:r>
      </w:hyperlink>
      <w:r>
        <w:rPr>
          <w:rStyle w:val="Muydestacado"/>
          <w:rFonts w:ascii="IBM Plex Sans" w:hAnsi="IBM Plex Sans"/>
          <w:b w:val="false"/>
          <w:color w:val="000000"/>
          <w:sz w:val="22"/>
          <w:szCs w:val="22"/>
        </w:rPr>
        <w:t xml:space="preserve">)  </w:t>
      </w:r>
      <w:r>
        <w:rPr>
          <w:rStyle w:val="Muydestacado"/>
          <w:rFonts w:ascii="IBM Plex Sans" w:hAnsi="IBM Plex Sans"/>
          <w:b w:val="false"/>
          <w:color w:val="000000"/>
          <w:sz w:val="22"/>
          <w:szCs w:val="22"/>
        </w:rPr>
        <w:t>de la sociedad, esta tiene por objeto: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"El desarrollo del turismo rural.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La creación de alojamientos turísticos.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La conservación del patrimonio arquitectónico.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La rehabilitación de viviendas tradicionales, y deshabitadas para su transformación en alojamientos turísticos.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El desarrollo del turismo cultural, con la explotación turística de los tres eventos de carácter internacional que se celebrarán en el municipio a partir de 1993, la puesta en marcha de talleres de folcklore canario y de artesanía.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La realización de programas de cursos para jóvenes extranjeros estudiantes de español.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El desarrollo del turismo para la tercera edad.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El desarrollo del turismo ecológico.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La creación de actividades específicas dirigidas a satisfacer la demanda de ocio y lúdica de los visitantes, y los vecinos del municipio.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La gestión de la venta de plazas de alojamiento turístico.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La gestión de los servicios mínimos necesarios para ofertar un alojamiento de calidad.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La venta del producto turístico complementario.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La creación y venta de los productos de consumo turísticos: postales, libros.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La gestión de cualquier otra actividad propia del turismo rural y encaminada hacia la potenciación y mejora del servicio ofertado.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El desarrollo económico y social de nuestra comunidad.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Elaboración, producción, comercialización, al por mayor y al por menor de vinos y aceites.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La compra, parcelación y urbanización de terrenos. Construcción, venta y explotación directa o mediante arriendo de edificaciones apartamentos, viviendas y hoteles.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Promoción, construcción y explotación de parques eólicos, y parques de energía solar.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 xml:space="preserve">Todo ello sin perjuicio de la obtención de las oportunas licencias administrativas, dejando a salvo en todo caso, las actividades sujetas a la legislación especial. 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Las actividades integrantes del objeto social, pueden ser desarrolladas por la sociedad total o parcialmente, de modo indirecto, mediante la titularidad de las acciones o de participaciones en sociedades con objeto idéntico o análogo."</w:t>
      </w:r>
    </w:p>
    <w:sectPr>
      <w:headerReference w:type="default" r:id="rId7"/>
      <w:footerReference w:type="default" r:id="rId8"/>
      <w:type w:val="nextPage"/>
      <w:pgSz w:w="11906" w:h="16838"/>
      <w:pgMar w:left="1701" w:right="1701" w:header="708" w:top="2268" w:footer="1417" w:bottom="19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libri Light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OpenSymbol">
    <w:altName w:val="Arial Unicode MS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  <w:font w:name="Calibri">
    <w:altName w:val="sans-serif"/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IBM Plex Sans" w:hAnsi="IBM Plex Sans" w:eastAsia="IBM Plex Sans" w:cs="IBM Plex Sans"/>
        <w:b/>
        <w:b/>
        <w:bCs/>
        <w:sz w:val="20"/>
        <w:szCs w:val="20"/>
      </w:rPr>
    </w:pPr>
    <w:r>
      <w:rPr>
        <w:rFonts w:eastAsia="IBM Plex Sans" w:cs="IBM Plex Sans" w:ascii="IBM Plex Sans" w:hAnsi="IBM Plex Sans"/>
        <w:b/>
        <w:bCs/>
        <w:sz w:val="20"/>
        <w:szCs w:val="20"/>
      </w:rPr>
      <w:t>Portal de Transparencia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-686435</wp:posOffset>
          </wp:positionH>
          <wp:positionV relativeFrom="paragraph">
            <wp:posOffset>-120015</wp:posOffset>
          </wp:positionV>
          <wp:extent cx="1425575" cy="789305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5575" cy="789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both"/>
    </w:pPr>
    <w:rPr>
      <w:rFonts w:ascii="Calibri" w:hAnsi="Calibri" w:eastAsia="Times New Roman" w:cs="Calibri"/>
      <w:color w:val="00000A"/>
      <w:kern w:val="2"/>
      <w:sz w:val="24"/>
      <w:szCs w:val="24"/>
      <w:lang w:val="es-ES" w:eastAsia="zh-CN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uentedeprrafopredeter">
    <w:name w:val="Fuente de párrafo predeter.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EnlacedeInternet">
    <w:name w:val="Enlace de Internet"/>
    <w:rPr>
      <w:color w:val="000080"/>
      <w:u w:val="single"/>
      <w:lang w:val="zxx" w:bidi="zxx"/>
    </w:rPr>
  </w:style>
  <w:style w:type="character" w:styleId="Smbolosdenumeracin">
    <w:name w:val="Símbolos de numeración"/>
    <w:qFormat/>
    <w:rPr/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11">
    <w:name w:val="Título1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guimes.es/transparencia-9-estatutos-trasl/" TargetMode="External"/><Relationship Id="rId3" Type="http://schemas.openxmlformats.org/officeDocument/2006/relationships/hyperlink" Target="https://aguimes.es/wp-content/uploads/2021/04/00-Estatutos-Turismo-Rural-Aguimes-SL.odt" TargetMode="External"/><Relationship Id="rId4" Type="http://schemas.openxmlformats.org/officeDocument/2006/relationships/hyperlink" Target="https://aguimes.es/wp-content/uploads/2021/04/00-Estatutos-Turismo-Rural-Aguimes-SL.txt" TargetMode="External"/><Relationship Id="rId5" Type="http://schemas.openxmlformats.org/officeDocument/2006/relationships/hyperlink" Target="https://aguimes.es/wp-content/uploads/2021/04/00-Estatutos-Turismo-Rural-Aguimes-SL.docx" TargetMode="External"/><Relationship Id="rId6" Type="http://schemas.openxmlformats.org/officeDocument/2006/relationships/hyperlink" Target="https://aguimes.es/wp-content/uploads/2021/04/00-Estatutos-Turismo-Rural-Aguimes-SL.pdf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LibreOffice/6.4.3.2$Windows_X86_64 LibreOffice_project/747b5d0ebf89f41c860ec2a39efd7cb15b54f2d8</Application>
  <Pages>1</Pages>
  <Words>331</Words>
  <Characters>1884</Characters>
  <CharactersWithSpaces>2207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dcterms:modified xsi:type="dcterms:W3CDTF">2021-04-02T18:35:23Z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