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left"/>
        <w:rPr/>
      </w:pPr>
      <w:r>
        <w:rPr>
          <w:rStyle w:val="Muydestacado"/>
          <w:rFonts w:ascii="Roboto Slab" w:hAnsi="Roboto Slab"/>
          <w:b/>
          <w:bCs/>
          <w:color w:val="000080"/>
          <w:sz w:val="36"/>
          <w:szCs w:val="36"/>
        </w:rPr>
        <w:t>5</w:t>
      </w:r>
      <w:r>
        <w:rPr>
          <w:rStyle w:val="Muydestacado"/>
          <w:rFonts w:ascii="Roboto Slab" w:hAnsi="Roboto Slab"/>
          <w:b/>
          <w:bCs/>
          <w:color w:val="000080"/>
          <w:sz w:val="36"/>
          <w:szCs w:val="36"/>
        </w:rPr>
        <w:t>4</w:t>
      </w:r>
      <w:r>
        <w:rPr>
          <w:rStyle w:val="Muydestacado"/>
          <w:rFonts w:ascii="Roboto Slab" w:hAnsi="Roboto Slab"/>
          <w:b/>
          <w:bCs/>
          <w:color w:val="000080"/>
          <w:sz w:val="36"/>
          <w:szCs w:val="36"/>
        </w:rPr>
        <w:t xml:space="preserve">. </w:t>
      </w:r>
      <w:r>
        <w:rPr>
          <w:rStyle w:val="Muydestacado"/>
          <w:rFonts w:ascii="Roboto Slab" w:hAnsi="Roboto Slab"/>
          <w:b/>
          <w:bCs/>
          <w:color w:val="000080"/>
          <w:sz w:val="36"/>
          <w:szCs w:val="36"/>
        </w:rPr>
        <w:t>C</w:t>
      </w:r>
      <w:r>
        <w:rPr>
          <w:rStyle w:val="Muydestacado"/>
          <w:rFonts w:ascii="Roboto Slab" w:hAnsi="Roboto Slab"/>
          <w:b/>
          <w:bCs/>
          <w:color w:val="000080"/>
          <w:sz w:val="36"/>
          <w:szCs w:val="36"/>
        </w:rPr>
        <w:t>on</w:t>
      </w:r>
      <w:r>
        <w:rPr>
          <w:rStyle w:val="Muydestacado"/>
          <w:rFonts w:eastAsia="Times New Roman" w:cs="Calibri" w:ascii="Roboto Slab" w:hAnsi="Roboto Slab"/>
          <w:b/>
          <w:bCs/>
          <w:color w:val="000080"/>
          <w:kern w:val="2"/>
          <w:sz w:val="36"/>
          <w:szCs w:val="36"/>
          <w:lang w:val="es-ES" w:eastAsia="zh-CN" w:bidi="ar-SA"/>
        </w:rPr>
        <w:t xml:space="preserve">tratos </w:t>
      </w:r>
      <w:r>
        <w:rPr>
          <w:rStyle w:val="Muydestacado"/>
          <w:rFonts w:eastAsia="Times New Roman" w:cs="Calibri" w:ascii="Roboto Slab" w:hAnsi="Roboto Slab"/>
          <w:b/>
          <w:bCs/>
          <w:color w:val="000080"/>
          <w:kern w:val="2"/>
          <w:sz w:val="36"/>
          <w:szCs w:val="36"/>
          <w:lang w:val="es-ES" w:eastAsia="zh-CN" w:bidi="ar-SA"/>
        </w:rPr>
        <w:t>formaliz</w:t>
      </w:r>
      <w:r>
        <w:rPr>
          <w:rStyle w:val="Muydestacado"/>
          <w:rFonts w:eastAsia="Times New Roman" w:cs="Calibri" w:ascii="Roboto Slab" w:hAnsi="Roboto Slab"/>
          <w:b/>
          <w:bCs/>
          <w:color w:val="000080"/>
          <w:kern w:val="2"/>
          <w:sz w:val="36"/>
          <w:szCs w:val="36"/>
          <w:lang w:val="es-ES" w:eastAsia="zh-CN" w:bidi="ar-SA"/>
        </w:rPr>
        <w:t xml:space="preserve">ados. </w:t>
      </w:r>
      <w:r>
        <w:rPr>
          <w:rStyle w:val="Muydestacado"/>
          <w:rFonts w:eastAsia="Times New Roman" w:cs="Calibri" w:ascii="Roboto Slab" w:hAnsi="Roboto Slab"/>
          <w:b/>
          <w:bCs/>
          <w:color w:val="000080"/>
          <w:kern w:val="2"/>
          <w:sz w:val="36"/>
          <w:szCs w:val="36"/>
          <w:lang w:val="es-ES" w:eastAsia="zh-CN" w:bidi="ar-SA"/>
        </w:rPr>
        <w:t>Identidad de las personas o entidades a las que se adjudica el contrato o administración contratante en el caso de entidades privadas.</w:t>
      </w:r>
    </w:p>
    <w:p>
      <w:pPr>
        <w:pStyle w:val="Normal"/>
        <w:jc w:val="left"/>
        <w:rPr>
          <w:rStyle w:val="Muydestacado"/>
          <w:rFonts w:ascii="IBM Plex Sans" w:hAnsi="IBM Plex Sans"/>
          <w:b w:val="false"/>
          <w:b w:val="false"/>
          <w:bCs w:val="false"/>
          <w:sz w:val="22"/>
          <w:szCs w:val="22"/>
        </w:rPr>
      </w:pPr>
      <w:r>
        <w:rPr/>
      </w:r>
    </w:p>
    <w:p>
      <w:pPr>
        <w:pStyle w:val="Normal"/>
        <w:jc w:val="left"/>
        <w:rPr/>
      </w:pPr>
      <w:r>
        <w:rPr>
          <w:rStyle w:val="Muydestacado"/>
          <w:rFonts w:ascii="IBM Plex Sans" w:hAnsi="IBM Plex Sans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2"/>
          <w:szCs w:val="22"/>
          <w:u w:val="none"/>
          <w:effect w:val="none"/>
        </w:rPr>
        <w:t xml:space="preserve">En el ejercicio </w:t>
      </w:r>
      <w:r>
        <w:rPr>
          <w:rStyle w:val="Muydestacado"/>
          <w:rFonts w:ascii="IBM Plex Sans" w:hAnsi="IBM Plex Sans"/>
          <w:b/>
          <w:i w:val="false"/>
          <w:caps w:val="false"/>
          <w:smallCaps w:val="false"/>
          <w:strike w:val="false"/>
          <w:dstrike w:val="false"/>
          <w:color w:val="000000"/>
          <w:spacing w:val="0"/>
          <w:sz w:val="22"/>
          <w:szCs w:val="22"/>
          <w:u w:val="none"/>
          <w:effect w:val="none"/>
        </w:rPr>
        <w:t xml:space="preserve">2020 </w:t>
      </w:r>
      <w:r>
        <w:rPr>
          <w:rStyle w:val="Muydestacado"/>
          <w:rFonts w:ascii="IBM Plex Sans" w:hAnsi="IBM Plex Sans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2"/>
          <w:szCs w:val="22"/>
          <w:u w:val="none"/>
          <w:effect w:val="none"/>
        </w:rPr>
        <w:t>se han llevado a cabo los siguientes procedimientos</w:t>
      </w:r>
      <w:r>
        <w:rPr>
          <w:rStyle w:val="Muydestacado"/>
          <w:rFonts w:ascii="IBM Plex Sans" w:hAnsi="IBM Plex Sans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2"/>
          <w:szCs w:val="22"/>
          <w:u w:val="none"/>
          <w:effect w:val="none"/>
        </w:rPr>
        <w:t xml:space="preserve"> </w:t>
      </w:r>
      <w:r>
        <w:rPr>
          <w:rStyle w:val="Muydestacado"/>
          <w:rFonts w:ascii="IBM Plex Sans" w:hAnsi="IBM Plex Sans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2"/>
          <w:szCs w:val="22"/>
          <w:u w:val="none"/>
          <w:effect w:val="none"/>
        </w:rPr>
        <w:t xml:space="preserve">de contratación administrativa, </w:t>
      </w:r>
      <w:r>
        <w:rPr>
          <w:rStyle w:val="Muydestacado"/>
          <w:rFonts w:ascii="IBM Plex Sans" w:hAnsi="IBM Plex Sans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2"/>
          <w:szCs w:val="22"/>
          <w:u w:val="none"/>
          <w:effect w:val="none"/>
        </w:rPr>
        <w:t>todos adjudicación de contratos menores</w:t>
      </w:r>
      <w:r>
        <w:rPr>
          <w:rStyle w:val="Muydestacado"/>
          <w:rFonts w:ascii="IBM Plex Sans" w:hAnsi="IBM Plex Sans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2"/>
          <w:szCs w:val="22"/>
          <w:u w:val="none"/>
          <w:effect w:val="none"/>
        </w:rPr>
        <w:t>:</w:t>
        <w:br/>
      </w:r>
    </w:p>
    <w:p>
      <w:pPr>
        <w:pStyle w:val="Normal"/>
        <w:jc w:val="left"/>
        <w:rPr/>
      </w:pPr>
      <w:r>
        <w:rPr>
          <w:rStyle w:val="Muydestacado"/>
          <w:rFonts w:ascii="IBM Plex Sans" w:hAnsi="IBM Plex Sans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2"/>
          <w:szCs w:val="22"/>
          <w:u w:val="none"/>
          <w:effect w:val="none"/>
        </w:rPr>
        <w:t>1. SERVICIO PARA TRABAJOS EXTRAORDINARIOS DE GRABACIÓN DE CONTENIDOS, a la empresa SONIMAC SL, con CIF ****6736*, por un importe de 5.885,00 € (principal 5.500,00 € más 385,00 € por el 7% de IGIC), con cargo a la partida presupuestaria 491C/2279900; CONTRATACIÓN DE SERVICIOS EN LA TELEVISIÓN.</w:t>
      </w:r>
    </w:p>
    <w:p>
      <w:pPr>
        <w:pStyle w:val="Normal"/>
        <w:jc w:val="left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</w:r>
    </w:p>
    <w:p>
      <w:pPr>
        <w:pStyle w:val="Normal"/>
        <w:jc w:val="left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  <w:t>2. ASESORAMIENTO JURÍDICO EN MATERIA DE ACOSO LABORAL, a la empresa MURO 1 ABOGADOS, SLUP, con CIF ****3776*, por un importe de 1.337,50 € (principal 1.250,00 € más 87,50 € por el 7% de IGIC), con cargo a la partida presupuestaria 491C/2279900; CONTRATACIÓN DE SERVICIOS EN LA TELEVISIÓN.</w:t>
      </w:r>
    </w:p>
    <w:p>
      <w:pPr>
        <w:pStyle w:val="Normal"/>
        <w:jc w:val="left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</w:r>
    </w:p>
    <w:p>
      <w:pPr>
        <w:pStyle w:val="Normal"/>
        <w:jc w:val="left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  <w:t>3. ADQUISICIÓN DE CÁMARAS DIGITALES, a la empresa SONIMAC SL, con CIF ****6736*, por un importe de 13.499,12 € (principal 12.616,00 € más 883,12 € por el 7% de IGIC), con cargo a la partida presupuestaria 491C/6250010; EQUIPAMIENTO DE TV.</w:t>
      </w:r>
    </w:p>
    <w:p>
      <w:pPr>
        <w:pStyle w:val="Normal"/>
        <w:jc w:val="left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  <w:br/>
        <w:t>4. EQUIPO EMISOR DE FM, a la empresa RIGAZ SERVIRADIO SL, con CIF ****9354*, por un importe de 4.960,03 € (principal 4.635,54 € más 324,49 € por el 7% de IGIC), con cargo a la partida presupuestaria 491B/6250010; EQUIPAMIENTO DE RADIO MUNICIPAL.</w:t>
      </w:r>
    </w:p>
    <w:p>
      <w:pPr>
        <w:pStyle w:val="Normal"/>
        <w:jc w:val="left"/>
        <w:rPr>
          <w:rStyle w:val="Muydestacado"/>
          <w:rFonts w:ascii="IBM Plex Sans" w:hAnsi="IBM Plex Sans"/>
          <w:sz w:val="22"/>
          <w:szCs w:val="22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1701" w:header="708" w:top="2268" w:footer="1417" w:bottom="196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Calibri Light">
    <w:charset w:val="00"/>
    <w:family w:val="swiss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default"/>
  </w:font>
  <w:font w:name="OpenSymbol">
    <w:altName w:val="Arial Unicode MS"/>
    <w:charset w:val="00"/>
    <w:family w:val="auto"/>
    <w:pitch w:val="variable"/>
  </w:font>
  <w:font w:name="Liberation Sans">
    <w:altName w:val="Arial"/>
    <w:charset w:val="00"/>
    <w:family w:val="swiss"/>
    <w:pitch w:val="variable"/>
  </w:font>
  <w:font w:name="Roboto Slab">
    <w:charset w:val="00"/>
    <w:family w:val="auto"/>
    <w:pitch w:val="variable"/>
  </w:font>
  <w:font w:name="IBM Plex Sans"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right"/>
      <w:rPr>
        <w:rFonts w:ascii="IBM Plex Sans" w:hAnsi="IBM Plex Sans" w:eastAsia="IBM Plex Sans" w:cs="IBM Plex Sans"/>
        <w:b/>
        <w:b/>
        <w:bCs/>
        <w:sz w:val="20"/>
        <w:szCs w:val="20"/>
      </w:rPr>
    </w:pPr>
    <w:r>
      <w:rPr>
        <w:rFonts w:eastAsia="IBM Plex Sans" w:cs="IBM Plex Sans" w:ascii="IBM Plex Sans" w:hAnsi="IBM Plex Sans"/>
        <w:b/>
        <w:bCs/>
        <w:sz w:val="20"/>
        <w:szCs w:val="20"/>
      </w:rPr>
      <w:t>Portal de Transparencia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/>
    </w:pPr>
    <w:r>
      <w:rPr/>
      <w:drawing>
        <wp:anchor behindDoc="0" distT="0" distB="0" distL="0" distR="0" simplePos="0" locked="0" layoutInCell="1" allowOverlap="1" relativeHeight="2">
          <wp:simplePos x="0" y="0"/>
          <wp:positionH relativeFrom="column">
            <wp:posOffset>-809625</wp:posOffset>
          </wp:positionH>
          <wp:positionV relativeFrom="paragraph">
            <wp:posOffset>-360045</wp:posOffset>
          </wp:positionV>
          <wp:extent cx="7019925" cy="1316990"/>
          <wp:effectExtent l="0" t="0" r="0" b="0"/>
          <wp:wrapSquare wrapText="largest"/>
          <wp:docPr id="1" name="Imagen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" t="-16" r="-3" b="-16"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13169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432" w:hanging="432"/>
      </w:pPr>
      <w:rPr/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1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es-E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  <w:jc w:val="both"/>
    </w:pPr>
    <w:rPr>
      <w:rFonts w:ascii="Calibri" w:hAnsi="Calibri" w:eastAsia="Times New Roman" w:cs="Calibri"/>
      <w:color w:val="00000A"/>
      <w:kern w:val="2"/>
      <w:sz w:val="24"/>
      <w:szCs w:val="24"/>
      <w:lang w:val="es-ES" w:eastAsia="zh-CN" w:bidi="ar-SA"/>
    </w:rPr>
  </w:style>
  <w:style w:type="paragraph" w:styleId="Ttulo1">
    <w:name w:val="Heading 1"/>
    <w:basedOn w:val="Normal"/>
    <w:next w:val="Cuerpodetexto"/>
    <w:qFormat/>
    <w:pPr>
      <w:keepNext w:val="true"/>
      <w:keepLines/>
      <w:numPr>
        <w:ilvl w:val="0"/>
        <w:numId w:val="1"/>
      </w:numPr>
      <w:spacing w:before="480" w:after="0"/>
      <w:outlineLvl w:val="0"/>
    </w:pPr>
    <w:rPr>
      <w:rFonts w:ascii="Calibri Light" w:hAnsi="Calibri Light" w:eastAsia="Calibri" w:cs="Calibri Light"/>
      <w:b/>
      <w:bCs/>
      <w:color w:val="2E74B5"/>
      <w:sz w:val="28"/>
      <w:szCs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Fuentedeprrafopredeter">
    <w:name w:val="Fuente de párrafo predeter."/>
    <w:qFormat/>
    <w:rPr/>
  </w:style>
  <w:style w:type="character" w:styleId="WW8Num2z0">
    <w:name w:val="WW8Num2z0"/>
    <w:qFormat/>
    <w:rPr>
      <w:rFonts w:ascii="Symbol" w:hAnsi="Symbol" w:cs="OpenSymbol;Arial Unicode MS"/>
    </w:rPr>
  </w:style>
  <w:style w:type="character" w:styleId="DefaultParagraphFont">
    <w:name w:val="Default Paragraph Font"/>
    <w:qFormat/>
    <w:rPr/>
  </w:style>
  <w:style w:type="character" w:styleId="Ttulo1Car">
    <w:name w:val="Título 1 Car"/>
    <w:basedOn w:val="DefaultParagraphFont"/>
    <w:qFormat/>
    <w:rPr>
      <w:rFonts w:ascii="Calibri Light" w:hAnsi="Calibri Light" w:eastAsia="Calibri" w:cs="Calibri Light"/>
      <w:b/>
      <w:bCs/>
      <w:color w:val="2E74B5"/>
      <w:kern w:val="2"/>
      <w:sz w:val="28"/>
      <w:szCs w:val="28"/>
    </w:rPr>
  </w:style>
  <w:style w:type="character" w:styleId="TextoindependienteCar">
    <w:name w:val="Texto independiente Car"/>
    <w:basedOn w:val="DefaultParagraphFont"/>
    <w:qFormat/>
    <w:rPr>
      <w:rFonts w:ascii="Calibri" w:hAnsi="Calibri" w:eastAsia="Times New Roman" w:cs="Calibri"/>
      <w:kern w:val="2"/>
      <w:sz w:val="24"/>
      <w:szCs w:val="24"/>
    </w:rPr>
  </w:style>
  <w:style w:type="character" w:styleId="EncabezadoCar">
    <w:name w:val="Encabezado Car"/>
    <w:basedOn w:val="DefaultParagraphFont"/>
    <w:qFormat/>
    <w:rPr>
      <w:rFonts w:ascii="Calibri" w:hAnsi="Calibri" w:eastAsia="Times New Roman" w:cs="Calibri"/>
      <w:kern w:val="2"/>
      <w:sz w:val="24"/>
      <w:szCs w:val="24"/>
    </w:rPr>
  </w:style>
  <w:style w:type="character" w:styleId="PiedepginaCar">
    <w:name w:val="Pie de página Car"/>
    <w:basedOn w:val="DefaultParagraphFont"/>
    <w:qFormat/>
    <w:rPr>
      <w:rFonts w:ascii="Calibri" w:hAnsi="Calibri" w:eastAsia="Times New Roman" w:cs="Calibri"/>
      <w:kern w:val="2"/>
      <w:sz w:val="24"/>
      <w:szCs w:val="24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0">
    <w:name w:val="WW8Num4z0"/>
    <w:qFormat/>
    <w:rPr>
      <w:rFonts w:ascii="Times New Roman" w:hAnsi="Times New Roman" w:eastAsia="Times New Roman" w:cs="Times New Roman"/>
    </w:rPr>
  </w:style>
  <w:style w:type="character" w:styleId="Vietas">
    <w:name w:val="Viñetas"/>
    <w:qFormat/>
    <w:rPr>
      <w:rFonts w:ascii="OpenSymbol;Arial Unicode MS" w:hAnsi="OpenSymbol;Arial Unicode MS" w:eastAsia="OpenSymbol;Arial Unicode MS" w:cs="OpenSymbol;Arial Unicode MS"/>
    </w:rPr>
  </w:style>
  <w:style w:type="character" w:styleId="EnlacedeInternet">
    <w:name w:val="Enlace de Internet"/>
    <w:rPr>
      <w:color w:val="000080"/>
      <w:u w:val="single"/>
      <w:lang w:val="zxx" w:bidi="zxx"/>
    </w:rPr>
  </w:style>
  <w:style w:type="character" w:styleId="Smbolosdenumeracin">
    <w:name w:val="Símbolos de numeración"/>
    <w:qFormat/>
    <w:rPr/>
  </w:style>
  <w:style w:type="character" w:styleId="Muydestacado">
    <w:name w:val="Muy destacado"/>
    <w:qFormat/>
    <w:rPr>
      <w:b/>
      <w:bCs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Cuerpodetexto">
    <w:name w:val="Body Text"/>
    <w:basedOn w:val="Normal"/>
    <w:pPr>
      <w:spacing w:before="0" w:after="120"/>
    </w:pPr>
    <w:rPr/>
  </w:style>
  <w:style w:type="paragraph" w:styleId="Lista">
    <w:name w:val="List"/>
    <w:basedOn w:val="Cuerpodetexto"/>
    <w:pPr/>
    <w:rPr>
      <w:rFonts w:cs="Mang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Ttulo11">
    <w:name w:val="Título1"/>
    <w:basedOn w:val="Normal"/>
    <w:next w:val="Cuerpodetexto"/>
    <w:qFormat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Epgrafe">
    <w:name w:val="Epígrafe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Cabeceraypie">
    <w:name w:val="Cabecera y pie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Cabecera">
    <w:name w:val="Header"/>
    <w:basedOn w:val="Normal"/>
    <w:pPr>
      <w:tabs>
        <w:tab w:val="clear" w:pos="709"/>
        <w:tab w:val="center" w:pos="4252" w:leader="none"/>
        <w:tab w:val="right" w:pos="8504" w:leader="none"/>
      </w:tabs>
    </w:pPr>
    <w:rPr/>
  </w:style>
  <w:style w:type="paragraph" w:styleId="Piedepgina">
    <w:name w:val="Footer"/>
    <w:basedOn w:val="Normal"/>
    <w:pPr>
      <w:tabs>
        <w:tab w:val="clear" w:pos="709"/>
        <w:tab w:val="center" w:pos="4252" w:leader="none"/>
        <w:tab w:val="right" w:pos="8504" w:leader="none"/>
      </w:tabs>
    </w:pPr>
    <w:rPr/>
  </w:style>
  <w:style w:type="paragraph" w:styleId="Contenidodelatabla">
    <w:name w:val="Contenido de la tabla"/>
    <w:basedOn w:val="Normal"/>
    <w:qFormat/>
    <w:pPr>
      <w:suppressLineNumbers/>
    </w:pPr>
    <w:rPr/>
  </w:style>
  <w:style w:type="paragraph" w:styleId="Ttulodelatabla">
    <w:name w:val="Título de la tabla"/>
    <w:basedOn w:val="Contenidodelatabla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116</TotalTime>
  <Application>LibreOffice/6.4.3.2$Windows_X86_64 LibreOffice_project/747b5d0ebf89f41c860ec2a39efd7cb15b54f2d8</Application>
  <Pages>1</Pages>
  <Words>225</Words>
  <Characters>1176</Characters>
  <CharactersWithSpaces>1396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Raul Martel Vega</dc:creator>
  <dc:description/>
  <dc:language>es-ES</dc:language>
  <cp:lastModifiedBy/>
  <dcterms:modified xsi:type="dcterms:W3CDTF">2021-04-01T11:46:20Z</dcterms:modified>
  <cp:revision>32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