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VEINTIOCHO DE OCTUBRE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veintidós de octubre de dos mil diecinueve,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A) RELATIVO AL EXPEDIENTE DE CONTRATACIÓN DEL SERVICIO DE “IMPRESIÓN, DISEÑO, MAQUETACIÓN Y DISTRIBUCIÓN DEL MATERIAL DE IMPRENTA DERIVADO DE LAS ACTIVIDADES Y SERVICIOS MUNICIPALES”.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por el que se retrotrae las actuaciones practicadas en este expediente de contratación para corregir el error de trascripción detectado en el Acta de la Mesa de fecha 13 de agosto de 2019, donde se eleva a acuerdo la oferta más ventajosa para los intereses municipales, </w:t>
      </w:r>
      <w:r>
        <w:rPr>
          <w:rFonts w:eastAsia="Verdana" w:cs="Verdana" w:ascii="IBM Plex Sans" w:hAnsi="IBM Plex Sans"/>
          <w:color w:val="040404"/>
          <w:sz w:val="22"/>
          <w:szCs w:val="22"/>
          <w:u w:val="none"/>
        </w:rPr>
        <w:t>conforme al artículo 109 de la Ley 39/2015 de 1 de octubre, del Procedimiento Administrativo Común de las Administraciones Públicas,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B) RENOVACIÓN DE LA ADHESIÓN DEL AYUNTAMIENTO DE AGÜIMES A LAS NORMAS DE FUNCIONAMIENTO DEL PROGRAMA ESTATAL DE CIRCULACIÓN DE ESPECTÁCULOS DE ARTES ESCÉNICAS EN ESPACIOS DE LAS ENTIDADES LOCALES (“PLATEA”), PARA LA EDICIÓN 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y con base al informe que precede, 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documento de renovación de la adhesión del Ayuntamiento de Agüimes a las Normas de Funcionamiento del Programa Estatal de Circulación de Espectáculos de Artes Escénicas en Espacios de las Entidades Locales (“PLATEA”), para la Edición 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Facultar al Sr. Alcalde para la firma del mismo y realización de cuantas gestiones sean necesarias.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C) ADJUDICACIÓN DE LOS LOTES I Y III DEL CONTRATO DE LA OBRA “AMPLIACIÓN DEL COMEDOR Y REORDENACIÓN DEL PATIO EN EL CEIP BEÑESMÉN”</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7 de octubre de 2019, se eleva a acuerdo la propuesta de mejor oferta para adjudicación de los lotes del contrato  de la obra  “Ampliación del Comedor y Reordenación del Patio en el CEIP Beñesmén”</w:t>
      </w:r>
      <w:r>
        <w:rPr>
          <w:rFonts w:eastAsia="Verdana" w:cs="Verdana" w:ascii="IBM Plex Sans" w:hAnsi="IBM Plex Sans"/>
          <w:color w:val="040404"/>
          <w:sz w:val="22"/>
          <w:szCs w:val="22"/>
          <w:u w:val="none"/>
        </w:rPr>
        <w:t>, 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Una vez dado cumplimiento a la presentación de fianza y documentación por parte de las empresas propuestas al Lote I y al Lote III, 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 adjudicar mediante procedimiento abierto simplificado el contrato de obra</w:t>
      </w:r>
      <w:r>
        <w:rPr>
          <w:rFonts w:eastAsia="Verdana" w:cs="Verdana" w:ascii="IBM Plex Sans" w:hAnsi="IBM Plex Sans"/>
          <w:b w:val="false"/>
          <w:bCs w:val="false"/>
          <w:color w:val="040404"/>
          <w:sz w:val="22"/>
          <w:szCs w:val="22"/>
          <w:u w:val="none"/>
        </w:rPr>
        <w:t xml:space="preserve"> “AMPLIACIÓN DEL COMEDOR Y REORDENACIÓN DEL PATIO EN EL CEIP BEÑESMÉN”, en los LOTES relacionados,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LOTE I Demolición y movimientos de tierras,  a la empresa  </w:t>
      </w:r>
      <w:r>
        <w:rPr>
          <w:rFonts w:eastAsia="Verdana" w:cs="Verdana" w:ascii="IBM Plex Sans" w:hAnsi="IBM Plex Sans"/>
          <w:b w:val="false"/>
          <w:bCs w:val="false"/>
          <w:caps/>
          <w:color w:val="040404"/>
          <w:sz w:val="22"/>
          <w:szCs w:val="22"/>
          <w:u w:val="none"/>
        </w:rPr>
        <w:t>Rayco Sánchez Artiles SLU</w:t>
      </w:r>
      <w:r>
        <w:rPr>
          <w:rFonts w:eastAsia="Verdana" w:cs="Verdana" w:ascii="IBM Plex Sans" w:hAnsi="IBM Plex Sans"/>
          <w:b w:val="false"/>
          <w:bCs w:val="false"/>
          <w:color w:val="040404"/>
          <w:sz w:val="22"/>
          <w:szCs w:val="22"/>
          <w:u w:val="none"/>
        </w:rPr>
        <w:t>, con CIF ****7443* por un importe de CUARENTA Y CINCO MIL (45.000€) EUROS, más DOS MIL NOVECIENTOS VEINTICINCO (2.925) EUROS de IGIC y reducción del plazo de ejecución en ocho semanas, con cargo a la partida presupuestaria 323P/6320000.</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LOTE III Instalaciones, a la empresa </w:t>
      </w:r>
      <w:r>
        <w:rPr>
          <w:rFonts w:eastAsia="Verdana" w:cs="Verdana" w:ascii="IBM Plex Sans" w:hAnsi="IBM Plex Sans"/>
          <w:b w:val="false"/>
          <w:bCs w:val="false"/>
          <w:caps/>
          <w:color w:val="040404"/>
          <w:sz w:val="22"/>
          <w:szCs w:val="22"/>
          <w:u w:val="none"/>
        </w:rPr>
        <w:t>Imesapi SA</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con CIF ****1047*, por un importe de TREINTA Y TRES MIL CIENTO VEINTISIETE CON CINCUENTA Y DOS (33.127,52€) EUROS, más DOS MIL CIENTO CINCUENTA Y TRES CON VEINTIOCHO (2.153,28) EUROS de IGIC, reducción del plazo de ejecución en 8 semanas y un 3% sobre el precio ofertado destinado al control de calidad; con cargo a la partida presupuestaria 323P/6320000.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Responsable Supervisor y Director de Obra por cada uno de los Lotes, a los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val="false"/>
          <w:b w:val="false"/>
          <w:bCs w:val="false"/>
          <w:color w:val="040404"/>
          <w:sz w:val="22"/>
          <w:szCs w:val="22"/>
          <w:u w:val="none"/>
        </w:rPr>
      </w:pPr>
      <w:r>
        <w:rPr>
          <w:rFonts w:eastAsia="Verdana" w:cs="Verdana" w:ascii="IBM Plex Sans" w:hAnsi="IBM Plex Sans"/>
          <w:b w:val="false"/>
          <w:bCs w:val="false"/>
          <w:color w:val="040404"/>
          <w:sz w:val="22"/>
          <w:szCs w:val="22"/>
          <w:u w:val="none"/>
        </w:rPr>
        <w:t>LOTE I: Al Arquitecto Técnico, Don Francisco Estévez Rivero, Facultativo Municipal.</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eastAsia="Verdana" w:cs="Verdana"/>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LOTE III: Al Ingeniero Técnico, Don Yone Díaz Pérez, Facultativo Municipal. </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b/>
          <w:bCs/>
          <w:color w:val="040404"/>
          <w:sz w:val="22"/>
          <w:szCs w:val="22"/>
          <w:u w:val="none"/>
        </w:rPr>
      </w:pPr>
      <w:r>
        <w:rPr>
          <w:rFonts w:eastAsia="Verdana" w:cs="Verdana" w:ascii="IBM Plex Sans" w:hAnsi="IBM Plex Sans"/>
          <w:b/>
          <w:bCs/>
          <w:color w:val="040404"/>
          <w:sz w:val="22"/>
          <w:szCs w:val="22"/>
          <w:u w:val="none"/>
        </w:rPr>
        <w:t xml:space="preserve">D) </w:t>
      </w:r>
      <w:r>
        <w:rPr>
          <w:rFonts w:eastAsia="Verdana" w:cs="Verdana" w:ascii="IBM Plex Sans" w:hAnsi="IBM Plex Sans"/>
          <w:b/>
          <w:bCs/>
          <w:color w:val="040404"/>
          <w:spacing w:val="-3"/>
          <w:sz w:val="22"/>
          <w:szCs w:val="22"/>
          <w:u w:val="none"/>
          <w:lang w:val="es-ES_tradnl"/>
        </w:rPr>
        <w:t>ACTUALIZACIÓN DEL PRECIO  DEL  CONTRATO PRIVADO DE “ARRENDAMIENTO DE LOCALES COMERCIALES MUNICIPALES” QUE ADJUDICA EL LOCAL Nº 14, DEL CENTRO COMERCIAL LA ZAFRA.</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eastAsia="Verdana" w:cs="Verdana" w:ascii="IBM Plex Sans" w:hAnsi="IBM Plex Sans"/>
          <w:b w:val="false"/>
          <w:bCs w:val="false"/>
          <w:color w:val="040404"/>
          <w:spacing w:val="-3"/>
          <w:sz w:val="22"/>
          <w:szCs w:val="22"/>
          <w:u w:val="none"/>
          <w:lang w:val="es-ES_tradnl"/>
        </w:rPr>
        <w:t>CONTRATO PRIVADO DE “ARRENDAMIENTO DE LOCALES COMERCIALES MUNICIPALES” QUE ADJUDICA EL LOCAL Nº 14, PLANTA BAJA, DEL CENTRO</w:t>
      </w:r>
      <w:r>
        <w:rPr>
          <w:rFonts w:eastAsia="Verdana" w:cs="Verdana" w:ascii="IBM Plex Sans" w:hAnsi="IBM Plex Sans"/>
          <w:b/>
          <w:color w:val="040404"/>
          <w:spacing w:val="-3"/>
          <w:sz w:val="22"/>
          <w:szCs w:val="22"/>
          <w:u w:val="none"/>
          <w:lang w:val="es-ES_tradnl"/>
        </w:rPr>
        <w:t xml:space="preserve"> </w:t>
      </w:r>
      <w:r>
        <w:rPr>
          <w:rFonts w:eastAsia="Verdana" w:cs="Verdana" w:ascii="IBM Plex Sans" w:hAnsi="IBM Plex Sans"/>
          <w:b w:val="false"/>
          <w:bCs w:val="false"/>
          <w:color w:val="040404"/>
          <w:spacing w:val="-3"/>
          <w:sz w:val="22"/>
          <w:szCs w:val="22"/>
          <w:u w:val="none"/>
          <w:lang w:val="es-ES_tradnl"/>
        </w:rPr>
        <w:t>COMERCIAL LA ZAFRA, a DOÑA AMANDA INÉS PERALTA GALLO, con DNI ****3.265*, para prestar el servicio de cafetería,</w:t>
      </w:r>
      <w:r>
        <w:rPr>
          <w:rFonts w:eastAsia="Verdana" w:cs="Verdana" w:ascii="IBM Plex Sans" w:hAnsi="IBM Plex Sans"/>
          <w:color w:val="040404"/>
          <w:sz w:val="22"/>
          <w:szCs w:val="22"/>
          <w:u w:val="none"/>
        </w:rPr>
        <w:t xml:space="preserve">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E) </w:t>
      </w:r>
      <w:r>
        <w:rPr>
          <w:rFonts w:eastAsia="Verdana" w:cs="Verdana" w:ascii="IBM Plex Sans" w:hAnsi="IBM Plex Sans"/>
          <w:b/>
          <w:color w:val="040404"/>
          <w:spacing w:val="-3"/>
          <w:sz w:val="22"/>
          <w:szCs w:val="22"/>
          <w:u w:val="none"/>
          <w:lang w:val="es-ES_tradnl"/>
        </w:rPr>
        <w:t>ACTUALIZACIÓN DE PRECIO DEL  CONTRATO PRIVADO DE “ARRENDAMIENTO DE LOCALES COMERCIALES MUNICIPALES” QUE ADJUDICA EL LOCAL Nº 2, DEL CENTRO COMERCIAL LA ZAFRA.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eastAsia="Verdana" w:cs="Verdana" w:ascii="IBM Plex Sans" w:hAnsi="IBM Plex Sans"/>
          <w:b w:val="false"/>
          <w:bCs w:val="false"/>
          <w:color w:val="040404"/>
          <w:spacing w:val="-3"/>
          <w:sz w:val="22"/>
          <w:szCs w:val="22"/>
          <w:u w:val="none"/>
          <w:lang w:val="es-ES_tradnl"/>
        </w:rPr>
        <w:t>CONTRATO PRIVADO DE “ARRENDAMIENTO DE LOCALES COMERCIALES MUNICIPALES” QUE ADJUDICA EL LOCAL Nº 2, DEL CENTRO COMERCIAL LA ZAFRA, a DOÑA NURIA DEL PILAR GUEDES RAMOS, con DNI ****8.621*, para prestar el servicio de bazar y lotería,</w:t>
      </w:r>
      <w:r>
        <w:rPr>
          <w:rFonts w:eastAsia="Verdana" w:cs="Verdana" w:ascii="IBM Plex Sans" w:hAnsi="IBM Plex Sans"/>
          <w:color w:val="040404"/>
          <w:sz w:val="22"/>
          <w:szCs w:val="22"/>
          <w:u w:val="none"/>
        </w:rPr>
        <w:t xml:space="preserve">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F) </w:t>
      </w:r>
      <w:r>
        <w:rPr>
          <w:rFonts w:eastAsia="Verdana" w:cs="Verdana" w:ascii="IBM Plex Sans" w:hAnsi="IBM Plex Sans"/>
          <w:b/>
          <w:color w:val="040404"/>
          <w:spacing w:val="-3"/>
          <w:sz w:val="22"/>
          <w:szCs w:val="22"/>
          <w:u w:val="none"/>
          <w:lang w:val="es-ES_tradnl"/>
        </w:rPr>
        <w:t>ACTUALIZACIÓN DE PRECIO DEL  CONTRATO PRIVADO DE “ARRENDAMIENTO DE LOCALES COMERCIALES MUNICIPALES” QUE ADJUDICA EL LOCAL Nº 3, DE LA ESTACIÓN DE GUAGUAS.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precio del </w:t>
      </w:r>
      <w:r>
        <w:rPr>
          <w:rFonts w:eastAsia="Verdana" w:cs="Verdana" w:ascii="IBM Plex Sans" w:hAnsi="IBM Plex Sans"/>
          <w:b w:val="false"/>
          <w:bCs w:val="false"/>
          <w:color w:val="040404"/>
          <w:spacing w:val="-3"/>
          <w:sz w:val="22"/>
          <w:szCs w:val="22"/>
          <w:u w:val="none"/>
          <w:lang w:val="es-ES_tradnl"/>
        </w:rPr>
        <w:t>CONTRATO PRIVADO DE “ARRENDAMIENTO DE LOCALES COMERCIALES MUNICIPALES” QUE ADJUDICA EL LOCAL Nº 3, DE LA ESTACIÓN DE GUAGUAS, a DOÑA MARÍA RIVERO MEDINA, con DNI ****3.372*, para prestar el servicio de bazar,</w:t>
      </w:r>
      <w:r>
        <w:rPr>
          <w:rFonts w:eastAsia="Verdana" w:cs="Verdana" w:ascii="IBM Plex Sans" w:hAnsi="IBM Plex Sans"/>
          <w:b w:val="false"/>
          <w:bCs w:val="false"/>
          <w:color w:val="040404"/>
          <w:sz w:val="22"/>
          <w:szCs w:val="22"/>
          <w:u w:val="none"/>
        </w:rPr>
        <w:t xml:space="preserve"> y </w:t>
      </w:r>
      <w:r>
        <w:rPr>
          <w:rFonts w:eastAsia="Verdana" w:cs="Verdana" w:ascii="IBM Plex Sans" w:hAnsi="IBM Plex Sans"/>
          <w:color w:val="040404"/>
          <w:sz w:val="22"/>
          <w:szCs w:val="22"/>
          <w:u w:val="none"/>
        </w:rPr>
        <w:t>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G) APROBACIÓN CALENDARIO FISCAL CORRESPONDIENTE A LOS TRIBUTOS DE CARÁCTER PERIÓDICO DEL EJERCICIO 2020.</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 la precedente propuesta sobre el </w:t>
      </w:r>
      <w:r>
        <w:rPr>
          <w:rFonts w:eastAsia="Verdana" w:cs="Verdana" w:ascii="IBM Plex Sans" w:hAnsi="IBM Plex Sans"/>
          <w:b w:val="false"/>
          <w:bCs w:val="false"/>
          <w:color w:val="040404"/>
          <w:sz w:val="22"/>
          <w:szCs w:val="22"/>
          <w:u w:val="none"/>
        </w:rPr>
        <w:t>Calendario Fiscal correspondiente a los tributos de carácter periódico del ejercicio 2020,</w:t>
      </w:r>
      <w:r>
        <w:rPr>
          <w:rFonts w:eastAsia="Verdana" w:cs="Verdana" w:ascii="IBM Plex Sans" w:hAnsi="IBM Plex Sans"/>
          <w:color w:val="040404"/>
          <w:sz w:val="22"/>
          <w:szCs w:val="22"/>
          <w:u w:val="none"/>
        </w:rPr>
        <w:t xml:space="preserve">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H) </w:t>
      </w:r>
      <w:r>
        <w:rPr>
          <w:rFonts w:eastAsia="Verdana" w:cs="Verdana" w:ascii="IBM Plex Sans" w:hAnsi="IBM Plex Sans"/>
          <w:b/>
          <w:color w:val="040404"/>
          <w:sz w:val="22"/>
          <w:szCs w:val="22"/>
          <w:u w:val="none"/>
          <w:lang w:val="es-ES_tradnl"/>
        </w:rPr>
        <w:t>APROBACIÓN DEL EXPEDIENTE Y DISPOSICIÓN DE LA APERTURA DE ADJUDICACIÓN MEDIANTE PROCEDIMIENTO ABIERTO, SIMPLIFICADO DEL “SUMINISTRO DEL SISTEMA DE ALMACENAMIENTO PARA ENTORNO DE VIRTUALIZACIÓN VMWARE, SERVIDOR HOST ELECTRÓNICA DE RED”.</w:t>
      </w:r>
    </w:p>
    <w:p>
      <w:pPr>
        <w:pStyle w:val="Normal"/>
        <w:jc w:val="left"/>
        <w:rPr>
          <w:rFonts w:ascii="IBM Plex Sans" w:hAnsi="IBM Plex Sans"/>
          <w:color w:val="040404"/>
          <w:sz w:val="22"/>
          <w:szCs w:val="22"/>
          <w:u w:val="none"/>
        </w:rPr>
      </w:pPr>
      <w:r>
        <w:rPr>
          <w:rFonts w:ascii="IBM Plex Sans" w:hAnsi="IBM Plex Sans"/>
          <w:color w:val="040404"/>
          <w:sz w:val="22"/>
          <w:szCs w:val="22"/>
          <w:u w:val="none"/>
          <w:lang w:val="es-ES_tradnl"/>
        </w:rPr>
        <w:t xml:space="preserve">Mediante acuerdo de la Junta de Gobierno Local, en sesión celebrada el día 10 de septiembre de 2019, se aprobó el inicio de expediente para la contratación del </w:t>
      </w:r>
      <w:r>
        <w:rPr>
          <w:rFonts w:ascii="IBM Plex Sans" w:hAnsi="IBM Plex Sans"/>
          <w:b w:val="false"/>
          <w:bCs w:val="false"/>
          <w:color w:val="040404"/>
          <w:sz w:val="22"/>
          <w:szCs w:val="22"/>
          <w:u w:val="none"/>
          <w:lang w:val="es-ES_tradnl"/>
        </w:rPr>
        <w:t>“SUMINISTRO DEL SISTEMA DE ALMACENAMIENTO PARA ENTORNO DE VIRTUALIZACIÓN VMWARE, SERVIDOR HOST ELECTRÓNICA DE RED”</w:t>
      </w:r>
      <w:r>
        <w:rPr>
          <w:rFonts w:ascii="IBM Plex Sans" w:hAnsi="IBM Plex Sans"/>
          <w:color w:val="040404"/>
          <w:sz w:val="22"/>
          <w:szCs w:val="22"/>
          <w:u w:val="none"/>
          <w:lang w:val="es-ES_tradnl"/>
        </w:rPr>
        <w:t xml:space="preserve">, cuyo objeto </w:t>
      </w:r>
      <w:r>
        <w:rPr>
          <w:rFonts w:ascii="IBM Plex Sans" w:hAnsi="IBM Plex Sans"/>
          <w:color w:val="040404"/>
          <w:sz w:val="22"/>
          <w:szCs w:val="22"/>
          <w:u w:val="none"/>
        </w:rPr>
        <w:t xml:space="preserve">es </w:t>
      </w:r>
      <w:r>
        <w:rPr>
          <w:rFonts w:ascii="IBM Plex Sans" w:hAnsi="IBM Plex Sans"/>
          <w:bCs/>
          <w:color w:val="040404"/>
          <w:sz w:val="22"/>
          <w:szCs w:val="22"/>
          <w:u w:val="none"/>
        </w:rPr>
        <w:t>la adquisición y el mantenimiento de los sistemas y servidores informáticos definidos en la cláusula segunda del Pliego de Prescripciones Técnicas, con el fin de complet</w:t>
      </w:r>
      <w:r>
        <w:rPr>
          <w:rFonts w:ascii="IBM Plex Sans" w:hAnsi="IBM Plex Sans"/>
          <w:bCs/>
          <w:color w:val="040404"/>
          <w:sz w:val="22"/>
          <w:szCs w:val="22"/>
          <w:u w:val="none"/>
        </w:rPr>
        <w:t>a</w:t>
      </w:r>
      <w:r>
        <w:rPr>
          <w:rFonts w:ascii="IBM Plex Sans" w:hAnsi="IBM Plex Sans"/>
          <w:bCs/>
          <w:color w:val="040404"/>
          <w:sz w:val="22"/>
          <w:szCs w:val="22"/>
          <w:u w:val="none"/>
        </w:rPr>
        <w:t>r y garantizar los servicios tecnológicos del Ayuntamiento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y tramitación ordinaria.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 aplicación presupuestaria: 926A/6260004.</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I) APROBACIÓN DEL EXPEDIENTE Y DISPOSICIÓN DE LA APERTURA DE ADJUDICACIÓN MEDIANTE PROCEDIMIENTO ABIERTO  SIMPLIFICADO SUMARIO DEL SERVICIO DE “INSTALACION DE MOTIVOS DECORATIVOS DE NAVIDAD”.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lang w:val="es-ES_tradnl"/>
        </w:rPr>
        <w:t xml:space="preserve">Mediante acuerdo de la Junta de Gobierno Local, en sesión celebrada el día 30 de septiembre de 2019, se aprobó el inicio de expediente para la contratación del servicio de </w:t>
      </w:r>
      <w:r>
        <w:rPr>
          <w:rFonts w:ascii="IBM Plex Sans" w:hAnsi="IBM Plex Sans"/>
          <w:b w:val="false"/>
          <w:bCs w:val="false"/>
          <w:color w:val="040404"/>
          <w:sz w:val="22"/>
          <w:szCs w:val="22"/>
          <w:u w:val="none"/>
          <w:lang w:val="es-ES_tradnl"/>
        </w:rPr>
        <w:t>“INSTALACION DE MOTIVOS DECORATIVOS DE NAVIDAD”</w:t>
      </w:r>
      <w:r>
        <w:rPr>
          <w:rFonts w:ascii="IBM Plex Sans" w:hAnsi="IBM Plex Sans"/>
          <w:color w:val="040404"/>
          <w:sz w:val="22"/>
          <w:szCs w:val="22"/>
          <w:u w:val="none"/>
          <w:lang w:val="es-ES_tradnl"/>
        </w:rPr>
        <w:t>, siendo éste el objeto del contrato, con el fin de decorar las vías y plazas públicas para fomentar los eventos festivos entre los ciudadanos.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simplificado sumario.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 aplicación presupuestaria: 165A/2211250.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Calibri">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Ttulo"/>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WW8Num38z0">
    <w:name w:val="WW8Num38z0"/>
    <w:qFormat/>
    <w:rPr/>
  </w:style>
  <w:style w:type="character" w:styleId="WW8Num37z1">
    <w:name w:val="WW8Num37z1"/>
    <w:qFormat/>
    <w:rPr>
      <w:rFonts w:ascii="Courier New" w:hAnsi="Courier New" w:eastAsia="Courier New"/>
    </w:rPr>
  </w:style>
  <w:style w:type="character" w:styleId="WW8Num37z0">
    <w:name w:val="WW8Num37z0"/>
    <w:qFormat/>
    <w:rPr>
      <w:rFonts w:ascii="Verdana" w:hAnsi="Verdana" w:eastAsia="Times New Roman"/>
    </w:rPr>
  </w:style>
  <w:style w:type="character" w:styleId="WW8Num36z1">
    <w:name w:val="WW8Num36z1"/>
    <w:qFormat/>
    <w:rPr>
      <w:rFonts w:ascii="Courier New" w:hAnsi="Courier New" w:eastAsia="Courier New"/>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z w:val="20"/>
      <w:lang w:eastAsia="es-ES"/>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Estilo1">
    <w:name w:val="Estilo1"/>
    <w:basedOn w:val="Ttulo2"/>
    <w:qFormat/>
    <w:pPr>
      <w:keepNext w:val="true"/>
      <w:spacing w:lineRule="auto" w:line="240" w:before="240" w:after="60"/>
    </w:pPr>
    <w:rPr>
      <w:rFonts w:ascii="Calibri" w:hAnsi="Calibri"/>
      <w:b/>
      <w:bCs/>
      <w:i/>
      <w:iCs/>
      <w:sz w:val="28"/>
      <w:szCs w:val="28"/>
      <w:lang w:eastAsia="ar-SA"/>
    </w:rPr>
  </w:style>
  <w:style w:type="paragraph" w:styleId="Textosinformato1">
    <w:name w:val="Texto sin formato1"/>
    <w:basedOn w:val="Normal"/>
    <w:qFormat/>
    <w:pPr>
      <w:spacing w:lineRule="auto" w:line="240"/>
    </w:pPr>
    <w:rPr>
      <w:rFonts w:eastAsia="Calibri"/>
      <w:szCs w:val="21"/>
      <w:lang w:eastAsia="ar-SA"/>
    </w:rPr>
  </w:style>
  <w:style w:type="paragraph" w:styleId="Parrafo22">
    <w:name w:val="parrafo_22"/>
    <w:basedOn w:val="Normal"/>
    <w:qFormat/>
    <w:pPr>
      <w:spacing w:lineRule="atLeast" w:line="240" w:before="360" w:after="180"/>
      <w:ind w:left="0" w:right="0" w:firstLine="360"/>
      <w:jc w:val="both"/>
    </w:pPr>
    <w:rPr>
      <w:rFonts w:ascii="Times New Roman" w:hAnsi="Times New Roman" w:eastAsia="Times New Roman"/>
      <w:sz w:val="20"/>
      <w:szCs w:val="20"/>
      <w:lang w:eastAsia="ar-SA"/>
    </w:rPr>
  </w:style>
  <w:style w:type="paragraph" w:styleId="Parrafo1">
    <w:name w:val="parrafo1"/>
    <w:basedOn w:val="Normal"/>
    <w:qFormat/>
    <w:pPr>
      <w:spacing w:lineRule="atLeast" w:line="240" w:before="180" w:after="180"/>
      <w:ind w:left="0" w:right="0" w:firstLine="360"/>
      <w:jc w:val="both"/>
    </w:pPr>
    <w:rPr>
      <w:rFonts w:ascii="Times New Roman" w:hAnsi="Times New Roman" w:eastAsia="Times New Roman"/>
      <w:sz w:val="20"/>
      <w:szCs w:val="20"/>
      <w:lang w:eastAsia="ar-SA"/>
    </w:rPr>
  </w:style>
  <w:style w:type="paragraph" w:styleId="Simpleizquierda">
    <w:name w:val="simple izquierda"/>
    <w:basedOn w:val="Normal"/>
    <w:qFormat/>
    <w:pPr>
      <w:spacing w:lineRule="auto" w:line="240" w:before="280" w:after="280"/>
    </w:pPr>
    <w:rPr>
      <w:rFonts w:ascii="Times New Roman" w:hAnsi="Times New Roman" w:eastAsia="Times New Roman"/>
      <w:lang w:eastAsia="ar-SA"/>
    </w:rPr>
  </w:style>
  <w:style w:type="paragraph" w:styleId="Ttulo111">
    <w:name w:val="Título 11"/>
    <w:basedOn w:val="Normal"/>
    <w:qFormat/>
    <w:pPr>
      <w:widowControl w:val="false"/>
      <w:spacing w:lineRule="auto" w:line="240"/>
      <w:ind w:left="1057" w:right="0" w:hanging="0"/>
    </w:pPr>
    <w:rPr>
      <w:rFonts w:ascii="Verdana" w:hAnsi="Verdana" w:eastAsia="Verdana"/>
      <w:b/>
      <w:bCs/>
      <w:lang w:eastAsia="es-E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36</TotalTime>
  <Application>LibreOffice/6.4.3.2$Windows_X86_64 LibreOffice_project/747b5d0ebf89f41c860ec2a39efd7cb15b54f2d8</Application>
  <Pages>4</Pages>
  <Words>1596</Words>
  <CharactersWithSpaces>10190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2021-03-12T12:07:23Z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