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b/>
          <w:b/>
          <w:bCs/>
          <w:color w:val="2A265A"/>
          <w:sz w:val="36"/>
          <w:szCs w:val="36"/>
          <w:u w:val="none"/>
        </w:rPr>
      </w:pPr>
      <w:r>
        <w:rPr>
          <w:rFonts w:ascii="Roboto Slab" w:hAnsi="Roboto Slab"/>
          <w:b/>
          <w:bCs/>
          <w:color w:val="2A265A"/>
          <w:sz w:val="36"/>
          <w:szCs w:val="36"/>
          <w:u w:val="none"/>
        </w:rPr>
        <w:t>ACUERDOS JUNTA DE GOBIERNO LOCAL</w:t>
      </w:r>
    </w:p>
    <w:p>
      <w:pPr>
        <w:pStyle w:val="Normal"/>
        <w:jc w:val="left"/>
        <w:rPr>
          <w:rFonts w:ascii="Roboto Slab" w:hAnsi="Roboto Slab"/>
          <w:b/>
          <w:b/>
          <w:bCs/>
          <w:color w:val="2A265A"/>
          <w:sz w:val="36"/>
          <w:szCs w:val="36"/>
          <w:u w:val="none"/>
        </w:rPr>
      </w:pPr>
      <w:r>
        <w:rPr>
          <w:rFonts w:ascii="Roboto Slab" w:hAnsi="Roboto Slab"/>
          <w:b/>
          <w:bCs/>
          <w:color w:val="2A265A"/>
          <w:sz w:val="36"/>
          <w:szCs w:val="36"/>
          <w:u w:val="none"/>
        </w:rPr>
        <w:t>DIECIOCHO DE NOVIEMBRE DE DOS MIL DIECINUEVE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eastAsia="Arial" w:cs="Verdana"/>
          <w:b/>
          <w:b/>
          <w:bCs/>
          <w:color w:val="040404"/>
          <w:sz w:val="22"/>
          <w:szCs w:val="22"/>
          <w:u w:val="none"/>
        </w:rPr>
      </w:pPr>
      <w:r>
        <w:rPr>
          <w:rFonts w:eastAsia="Arial" w:cs="Verdana" w:ascii="IBM Plex Sans" w:hAnsi="IBM Plex Sans"/>
          <w:b/>
          <w:bCs/>
          <w:color w:val="040404"/>
          <w:sz w:val="22"/>
          <w:szCs w:val="22"/>
          <w:u w:val="none"/>
        </w:rPr>
        <w:t>1. LECTURA Y APROBACIÓN DEL BORRADOR DEL  ACTA DE LA SESIÓN ANTERIOR.</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Dada cuenta del borrador del Acta de las sesión celebrada el día once de noviembre de dos mil diecinueve, la misma son aprobadas por unanimidad, en sus literales términos.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eastAsia="Arial" w:cs="Verdana"/>
          <w:b/>
          <w:b/>
          <w:bCs/>
          <w:color w:val="040404"/>
          <w:sz w:val="22"/>
          <w:szCs w:val="22"/>
          <w:u w:val="none"/>
        </w:rPr>
      </w:pPr>
      <w:r>
        <w:rPr>
          <w:rFonts w:eastAsia="Arial" w:cs="Verdana" w:ascii="IBM Plex Sans" w:hAnsi="IBM Plex Sans"/>
          <w:b/>
          <w:bCs/>
          <w:color w:val="040404"/>
          <w:sz w:val="22"/>
          <w:szCs w:val="22"/>
          <w:u w:val="none"/>
        </w:rPr>
        <w:t>2. ASUNTOS DE LA PRESIDENCIA.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Dada cuenta de los asuntos que a continuación se relacionan, éstos son aprobados por unanimidad, siendo el siguiente su tenor literal:</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b/>
          <w:iCs/>
          <w:color w:val="040404"/>
          <w:sz w:val="22"/>
          <w:szCs w:val="22"/>
          <w:u w:val="none"/>
        </w:rPr>
        <w:t xml:space="preserve">A) </w:t>
      </w:r>
      <w:r>
        <w:rPr>
          <w:rFonts w:ascii="IBM Plex Sans" w:hAnsi="IBM Plex Sans"/>
          <w:b/>
          <w:color w:val="040404"/>
          <w:sz w:val="22"/>
          <w:szCs w:val="22"/>
          <w:u w:val="none"/>
        </w:rPr>
        <w:t>CERTIFICACIONES DE OBRAS.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Esta Junta de Gobierno Local, actuando por delegación de Alcaldía de conformidad con el decreto 2019/1563, de fecha 20 de junio, acuerda por unanimidad aprobar las siguientes: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
          <w:bCs/>
          <w:color w:val="040404"/>
          <w:sz w:val="22"/>
          <w:szCs w:val="22"/>
          <w:u w:val="none"/>
        </w:rPr>
        <w:t>1. C</w:t>
      </w:r>
      <w:r>
        <w:rPr>
          <w:rFonts w:eastAsia="Verdana" w:cs="Verdana" w:ascii="IBM Plex Sans" w:hAnsi="IBM Plex Sans"/>
          <w:b/>
          <w:bCs/>
          <w:color w:val="040404"/>
          <w:spacing w:val="-3"/>
          <w:sz w:val="22"/>
          <w:szCs w:val="22"/>
          <w:u w:val="none"/>
          <w:lang w:val="es-ES_tradnl"/>
        </w:rPr>
        <w:t>ERTIFICACIÓN</w:t>
      </w:r>
      <w:r>
        <w:rPr>
          <w:rFonts w:eastAsia="Verdana" w:cs="Verdana" w:ascii="IBM Plex Sans" w:hAnsi="IBM Plex Sans"/>
          <w:b/>
          <w:bCs/>
          <w:color w:val="040404"/>
          <w:sz w:val="22"/>
          <w:szCs w:val="22"/>
          <w:u w:val="none"/>
        </w:rPr>
        <w:t xml:space="preserve"> NÚMERO UNO (1) DE LA OBRA “MEJORAS RED DE SANEAMIENTO DE LA FASE IV DEL POLÍGONO INDUSTRIAL DE ARINAGA”,</w:t>
      </w:r>
      <w:r>
        <w:rPr>
          <w:rFonts w:eastAsia="Verdana" w:cs="Verdana" w:ascii="IBM Plex Sans" w:hAnsi="IBM Plex Sans"/>
          <w:color w:val="040404"/>
          <w:sz w:val="22"/>
          <w:szCs w:val="22"/>
          <w:u w:val="none"/>
        </w:rPr>
        <w:t xml:space="preserve"> con cargo a la aplicación presupuestaria 160S/6332001, adjudicada a la empresa Petracan, SL, </w:t>
      </w:r>
      <w:r>
        <w:rPr>
          <w:rFonts w:eastAsia="Verdana" w:cs="Verdana" w:ascii="IBM Plex Sans" w:hAnsi="IBM Plex Sans"/>
          <w:color w:val="040404"/>
          <w:spacing w:val="-3"/>
          <w:sz w:val="22"/>
          <w:szCs w:val="22"/>
          <w:u w:val="none"/>
          <w:lang w:val="es-ES_tradnl"/>
        </w:rPr>
        <w:t xml:space="preserve"> y suscrita por el Ingeniero Técnico de Obras Públicas, don Manuel Méndez Trujillo, facultativo de este Ayuntamiento que comprende la Dirección de dicha obra, por importe de 36.486,89 euros.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
          <w:bCs/>
          <w:color w:val="040404"/>
          <w:sz w:val="22"/>
          <w:szCs w:val="22"/>
          <w:u w:val="none"/>
        </w:rPr>
        <w:t>2. C</w:t>
      </w:r>
      <w:r>
        <w:rPr>
          <w:rFonts w:eastAsia="Verdana" w:cs="Verdana" w:ascii="IBM Plex Sans" w:hAnsi="IBM Plex Sans"/>
          <w:b/>
          <w:bCs/>
          <w:color w:val="040404"/>
          <w:spacing w:val="-3"/>
          <w:sz w:val="22"/>
          <w:szCs w:val="22"/>
          <w:u w:val="none"/>
          <w:lang w:val="es-ES_tradnl"/>
        </w:rPr>
        <w:t>ERTIFICACIÓN</w:t>
      </w:r>
      <w:r>
        <w:rPr>
          <w:rFonts w:eastAsia="Verdana" w:cs="Verdana" w:ascii="IBM Plex Sans" w:hAnsi="IBM Plex Sans"/>
          <w:b/>
          <w:bCs/>
          <w:color w:val="040404"/>
          <w:sz w:val="22"/>
          <w:szCs w:val="22"/>
          <w:u w:val="none"/>
        </w:rPr>
        <w:t xml:space="preserve"> NÚMERO TRES (3)- ÚLTIMA DE LA OBRA “MEJORAS DEL ALUMBRADO DEL CAMPO DE FÚTBOL DE PLAYA DE ARINAGA”, </w:t>
      </w:r>
      <w:r>
        <w:rPr>
          <w:rFonts w:eastAsia="Verdana" w:cs="Verdana" w:ascii="IBM Plex Sans" w:hAnsi="IBM Plex Sans"/>
          <w:color w:val="040404"/>
          <w:sz w:val="22"/>
          <w:szCs w:val="22"/>
          <w:u w:val="none"/>
        </w:rPr>
        <w:t xml:space="preserve">con cargo a la aplicación presupuestaria 342P.6270041, adjudicada a la empresa LUMICAN, SA, </w:t>
      </w:r>
      <w:r>
        <w:rPr>
          <w:rFonts w:eastAsia="Verdana" w:cs="Verdana" w:ascii="IBM Plex Sans" w:hAnsi="IBM Plex Sans"/>
          <w:color w:val="040404"/>
          <w:spacing w:val="-3"/>
          <w:sz w:val="22"/>
          <w:szCs w:val="22"/>
          <w:u w:val="none"/>
          <w:lang w:val="es-ES_tradnl"/>
        </w:rPr>
        <w:t xml:space="preserve"> y suscrita por el Ingeniero Técnico Industrial, don Yone F. Díaz Pérez, facultativo de este Ayuntamiento que comprende la Dirección de dicha obra, por importe de 53.412,18 euros.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
          <w:bCs/>
          <w:color w:val="040404"/>
          <w:spacing w:val="-3"/>
          <w:sz w:val="22"/>
          <w:szCs w:val="22"/>
          <w:u w:val="none"/>
          <w:lang w:val="es-ES_tradnl"/>
        </w:rPr>
        <w:t>3. CERTIFICACIÓN</w:t>
      </w:r>
      <w:r>
        <w:rPr>
          <w:rFonts w:eastAsia="Verdana" w:cs="Verdana" w:ascii="IBM Plex Sans" w:hAnsi="IBM Plex Sans"/>
          <w:b/>
          <w:bCs/>
          <w:color w:val="040404"/>
          <w:sz w:val="22"/>
          <w:szCs w:val="22"/>
          <w:u w:val="none"/>
        </w:rPr>
        <w:t xml:space="preserve"> NÚMERO UNO (1)- ÚNICA DE LA OBRA “MEJORAS ALUMBRADO PÚBLICO POLÍGONO INDUSTRIAL DE ARINAGA-ESPINALES”,</w:t>
      </w:r>
      <w:r>
        <w:rPr>
          <w:rFonts w:eastAsia="Verdana" w:cs="Verdana" w:ascii="IBM Plex Sans" w:hAnsi="IBM Plex Sans"/>
          <w:color w:val="040404"/>
          <w:sz w:val="22"/>
          <w:szCs w:val="22"/>
          <w:u w:val="none"/>
        </w:rPr>
        <w:t xml:space="preserve"> con cargo a la aplicación presupuestaria 165A.6192007, adjudicada a la empresa Ferrovial Servicios, SA, </w:t>
      </w:r>
      <w:r>
        <w:rPr>
          <w:rFonts w:eastAsia="Verdana" w:cs="Verdana" w:ascii="IBM Plex Sans" w:hAnsi="IBM Plex Sans"/>
          <w:color w:val="040404"/>
          <w:spacing w:val="-3"/>
          <w:sz w:val="22"/>
          <w:szCs w:val="22"/>
          <w:u w:val="none"/>
          <w:lang w:val="es-ES_tradnl"/>
        </w:rPr>
        <w:t xml:space="preserve"> suscrita por el Ingeniero Técnico Industrial, don Yone F. Díaz Pérez,  facultativo de este Ayuntamiento que comprende la Dirección de dicha obra, por importe de 62.214,83 euros.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
          <w:color w:val="040404"/>
          <w:spacing w:val="-3"/>
          <w:sz w:val="22"/>
          <w:szCs w:val="22"/>
          <w:u w:val="none"/>
          <w:lang w:val="es-ES_tradnl"/>
        </w:rPr>
        <w:t xml:space="preserve">B) </w:t>
      </w:r>
      <w:r>
        <w:rPr>
          <w:rFonts w:eastAsia="Verdana" w:cs="Verdana" w:ascii="IBM Plex Sans" w:hAnsi="IBM Plex Sans"/>
          <w:b/>
          <w:color w:val="040404"/>
          <w:sz w:val="22"/>
          <w:szCs w:val="22"/>
          <w:u w:val="none"/>
          <w:lang w:val="es-ES_tradnl"/>
        </w:rPr>
        <w:t>APROBACIÓN DEL EXPEDIENTE Y DISPOSICIÓN DE LA APERTURA DE ADJUDICACIÓN MEDIANTE PROCEDIMIENTO ABIERTO DE LA OBRA “ACTUALIZACIÓN DEL ALUMBRADO PÚBLICO DIVERSAS ZONAS DE AGÜIMES”.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Dado que el punto a tratar, no se incluyó en el orden del día de la presente sesión, y la adopción de dicho acuerdo no admite demora, se trae a esta Junta de Gobierno Local por la Presidencia de la misma, para su inclusión en esta sesión, debiendo para ello votar la declaración de urgencia, siendo el voto favorable por unanimidad. </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lang w:val="es-ES_tradnl"/>
        </w:rPr>
        <w:t xml:space="preserve">Mediante acuerdo de la Junta de Gobierno Local, en sesión celebrada el día 20 de mayo de 2019, se aprobó el inicio de expediente para la contratación de la obra </w:t>
      </w:r>
      <w:r>
        <w:rPr>
          <w:rFonts w:ascii="IBM Plex Sans" w:hAnsi="IBM Plex Sans"/>
          <w:b w:val="false"/>
          <w:bCs w:val="false"/>
          <w:color w:val="040404"/>
          <w:sz w:val="22"/>
          <w:szCs w:val="22"/>
          <w:u w:val="none"/>
          <w:lang w:val="es-ES_tradnl"/>
        </w:rPr>
        <w:t xml:space="preserve">“ACTUALIZACIÓN DEL ALUMBRADO PÚBLICO DIVERSAS ZONAS DE AGÜIMES”, </w:t>
      </w:r>
      <w:r>
        <w:rPr>
          <w:rFonts w:ascii="IBM Plex Sans" w:hAnsi="IBM Plex Sans"/>
          <w:color w:val="040404"/>
          <w:sz w:val="22"/>
          <w:szCs w:val="22"/>
          <w:u w:val="none"/>
          <w:lang w:val="es-ES_tradnl"/>
        </w:rPr>
        <w:t xml:space="preserve">cuyo objeto </w:t>
      </w:r>
      <w:r>
        <w:rPr>
          <w:rFonts w:ascii="IBM Plex Sans" w:hAnsi="IBM Plex Sans"/>
          <w:color w:val="040404"/>
          <w:sz w:val="22"/>
          <w:szCs w:val="22"/>
          <w:u w:val="none"/>
        </w:rPr>
        <w:t xml:space="preserve">es </w:t>
      </w:r>
      <w:r>
        <w:rPr>
          <w:rFonts w:ascii="IBM Plex Sans" w:hAnsi="IBM Plex Sans"/>
          <w:bCs/>
          <w:color w:val="040404"/>
          <w:sz w:val="22"/>
          <w:szCs w:val="22"/>
          <w:u w:val="none"/>
        </w:rPr>
        <w:t>la ejecución de la mencionada obra.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lang w:val="es-ES_tradnl"/>
        </w:rPr>
        <w:t xml:space="preserve">Completado el expediente de contratación y en conformidad con lo dispuesto en el artículo 117 de la Ley de Contratos del Sector Público, esta Junta de Gobierno Local, </w:t>
      </w:r>
      <w:r>
        <w:rPr>
          <w:rFonts w:eastAsia="Verdana" w:cs="Verdana" w:ascii="IBM Plex Sans" w:hAnsi="IBM Plex Sans"/>
          <w:color w:val="040404"/>
          <w:sz w:val="22"/>
          <w:szCs w:val="22"/>
          <w:u w:val="none"/>
        </w:rPr>
        <w:t>actuando por delegación de Alcaldía de conformidad con el decreto 2019/1563,</w:t>
      </w:r>
      <w:r>
        <w:rPr>
          <w:rFonts w:eastAsia="Verdana" w:cs="Verdana" w:ascii="IBM Plex Sans" w:hAnsi="IBM Plex Sans"/>
          <w:color w:val="040404"/>
          <w:sz w:val="22"/>
          <w:szCs w:val="22"/>
          <w:u w:val="none"/>
          <w:lang w:val="es-ES_tradnl"/>
        </w:rPr>
        <w:t xml:space="preserve"> </w:t>
      </w:r>
      <w:r>
        <w:rPr>
          <w:rFonts w:eastAsia="Verdana" w:cs="Verdana" w:ascii="IBM Plex Sans" w:hAnsi="IBM Plex Sans"/>
          <w:color w:val="040404"/>
          <w:sz w:val="22"/>
          <w:szCs w:val="22"/>
          <w:u w:val="none"/>
        </w:rPr>
        <w:t xml:space="preserve">de fecha 20 de junio, </w:t>
      </w:r>
      <w:r>
        <w:rPr>
          <w:rFonts w:eastAsia="Verdana" w:cs="Verdana" w:ascii="IBM Plex Sans" w:hAnsi="IBM Plex Sans"/>
          <w:color w:val="040404"/>
          <w:sz w:val="22"/>
          <w:szCs w:val="22"/>
          <w:u w:val="none"/>
          <w:lang w:val="es-ES_tradnl"/>
        </w:rPr>
        <w:t>acuerda por unanimidad:</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1. Aprobar el expediente.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2. Disponer la apertura de adjudicación mediante el procedimiento abierto y tramitación ordinaria, no sujeto a Regulación Armonizada.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3. Aprobar el gasto con cargo a las aplicaciones presupuestarias que en el Informe del Interventor Municipal de fecha 18 de julio de 2019 se relacionan.</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4. Facultar al Sr. Alcalde para la realización de cuantas gestiones sean necesarias y se deriven de dicho expediente.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C) RELATIVO AL EXPEDIENTE DE CONTRATACIÓN DEL “SUMINISTRO Y MANTENIMIENTO DEL SISTEMA DE ALMACENAMIENTO PARA ENTORNO DE VIRTUALIZACIÓN VMWARE, SERVIDOR HOST ELECTRÓNICA DE RED”.</w:t>
      </w:r>
    </w:p>
    <w:p>
      <w:pPr>
        <w:pStyle w:val="Normal"/>
        <w:jc w:val="left"/>
        <w:rPr>
          <w:rFonts w:ascii="IBM Plex Sans" w:hAnsi="IBM Plex Sans"/>
          <w:color w:val="040404"/>
          <w:sz w:val="22"/>
          <w:szCs w:val="22"/>
          <w:u w:val="none"/>
        </w:rPr>
      </w:pPr>
      <w:r>
        <w:rPr>
          <w:rFonts w:ascii="IBM Plex Sans" w:hAnsi="IBM Plex Sans"/>
          <w:bCs/>
          <w:color w:val="040404"/>
          <w:sz w:val="22"/>
          <w:szCs w:val="22"/>
          <w:u w:val="none"/>
        </w:rPr>
        <w:t xml:space="preserve">Atendiendo a lo expuesto, esta Junta de Gobierno Local, </w:t>
      </w:r>
      <w:r>
        <w:rPr>
          <w:rFonts w:ascii="IBM Plex Sans" w:hAnsi="IBM Plex Sans"/>
          <w:color w:val="040404"/>
          <w:sz w:val="22"/>
          <w:szCs w:val="22"/>
          <w:u w:val="none"/>
        </w:rPr>
        <w:t>actuando por delegación de Alcaldía de conformidad con el decreto 2019/1563, de fecha 20 de junio, acuerda por unanimidad lo siguiente: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1. Aprobar la corrección de error material detectado en la cláusula 5.2 del Pliego de Cláusulas Administrativas Particulares, tal y como se informa, conforme a lo dispuesto en el art.109.2 de la Ley 39/2015, de 01 de Octubre, del Procedimiento Administrativo Común de las Administraciones Públicas.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2. Elevar a acuerdo la precedente propuesta en todo su contenido procediendo a lo siguiente: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Aprobar el expediente de contratación.</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Disponer la apertura de adjudicación mediante el procedimiento abierto, simplificado y tramitación ordinaria.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Aprobar el gasto con cargo a la aplicación presupuestaria: 926A/6260004.</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3. Se faculta al Sr. Alcalde para la realización de cuantas gestiones sean necesarias y se deriven de dicho expediente.</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Tahoma">
    <w:charset w:val="00"/>
    <w:family w:val="roman"/>
    <w:pitch w:val="variable"/>
  </w:font>
  <w:font w:name="Courier New">
    <w:charset w:val="00"/>
    <w:family w:val="roman"/>
    <w:pitch w:val="variable"/>
  </w:font>
  <w:font w:name="Verdana">
    <w:charset w:val="00"/>
    <w:family w:val="roman"/>
    <w:pitch w:val="variable"/>
  </w:font>
  <w:font w:name="Cambria">
    <w:charset w:val="00"/>
    <w:family w:val="roman"/>
    <w:pitch w:val="variable"/>
  </w:font>
  <w:font w:name="Tele-GroteskNor">
    <w:charset w:val="00"/>
    <w:family w:val="roman"/>
    <w:pitch w:val="variable"/>
  </w:font>
  <w:font w:name="Liberation Sans">
    <w:altName w:val="Arial"/>
    <w:charset w:val="00"/>
    <w:family w:val="swiss"/>
    <w:pitch w:val="variable"/>
  </w:font>
  <w:font w:name="Calibri">
    <w:charset w:val="00"/>
    <w:family w:val="swiss"/>
    <w:pitch w:val="variable"/>
  </w:font>
  <w:font w:name="Roboto Slab">
    <w:charset w:val="00"/>
    <w:family w:val="auto"/>
    <w:pitch w:val="variable"/>
  </w:font>
  <w:font w:name="IBM Plex Sans">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3">
          <wp:simplePos x="0" y="0"/>
          <wp:positionH relativeFrom="column">
            <wp:posOffset>-1078230</wp:posOffset>
          </wp:positionH>
          <wp:positionV relativeFrom="paragraph">
            <wp:posOffset>-440690</wp:posOffset>
          </wp:positionV>
          <wp:extent cx="7538085" cy="10669270"/>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57" t="-40" r="-57" b="-40"/>
                  <a:stretch>
                    <a:fillRect/>
                  </a:stretch>
                </pic:blipFill>
                <pic:spPr bwMode="auto">
                  <a:xfrm>
                    <a:off x="0" y="0"/>
                    <a:ext cx="7538085" cy="1066927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paragraph" w:styleId="Ttulo2">
    <w:name w:val="Heading 2"/>
    <w:basedOn w:val="Ttulo"/>
    <w:qFormat/>
    <w:pPr/>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rFonts w:ascii="Verdana" w:hAnsi="Verdana" w:eastAsia="Verdana" w:cs="Verdana"/>
      <w:sz w:val="20"/>
      <w:szCs w:val="20"/>
      <w:lang w:val="es-ES"/>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rFonts w:ascii="Verdana" w:hAnsi="Verdana" w:eastAsia="Verdana" w:cs="Verdana"/>
      <w:lang w:val="es-ES"/>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4z0">
    <w:name w:val="WW8Num14z0"/>
    <w:qFormat/>
    <w:rPr>
      <w:rFonts w:ascii="Verdana" w:hAnsi="Verdana" w:eastAsia="Verdana" w:cs="Verdana"/>
      <w:spacing w:val="2"/>
      <w:sz w:val="20"/>
      <w:szCs w:val="20"/>
      <w:lang w:val="es-ES"/>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rFonts w:ascii="Verdana" w:hAnsi="Verdana" w:eastAsia="Verdana" w:cs="Verdana"/>
      <w:b/>
      <w:bCs/>
      <w:lang w:val="es-ES"/>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rFonts w:ascii="Verdana" w:hAnsi="Verdana" w:eastAsia="Verdana" w:cs="Verdana"/>
      <w:lang w:val="es-ES"/>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rFonts w:ascii="Verdana" w:hAnsi="Verdana" w:eastAsia="Verdana" w:cs="Verdana"/>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rFonts w:ascii="Verdana" w:hAnsi="Verdana" w:eastAsia="Verdana" w:cs="Verdana"/>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rFonts w:ascii="Verdana" w:hAnsi="Verdana" w:eastAsia="Verdana" w:cs="Verdana"/>
      <w:b/>
      <w:bCs/>
      <w:lang w:val="es-ES"/>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rFonts w:ascii="Verdana" w:hAnsi="Verdana" w:eastAsia="Verdana" w:cs="Verdana"/>
      <w:sz w:val="20"/>
      <w:szCs w:val="20"/>
      <w:lang w:val="es-ES"/>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3z1">
    <w:name w:val="WW8Num3z1"/>
    <w:qFormat/>
    <w:rPr>
      <w:rFonts w:ascii="Courier New" w:hAnsi="Courier New" w:eastAsia="Courier New" w:cs="Courier New"/>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rFonts w:ascii="Verdana" w:hAnsi="Verdana" w:eastAsia="Verdana" w:cs="Verdana"/>
      <w:lang w:val="es-ES"/>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5z0">
    <w:name w:val="WW8Num35z0"/>
    <w:qFormat/>
    <w:rPr>
      <w:rFonts w:ascii="Verdana" w:hAnsi="Verdana" w:eastAsia="Arial" w:cs="Verdana"/>
      <w:sz w:val="20"/>
      <w:szCs w:val="20"/>
      <w:lang w:val="es-ES"/>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4z0">
    <w:name w:val="WW8Num34z0"/>
    <w:qFormat/>
    <w:rPr>
      <w:rFonts w:ascii="Verdana" w:hAnsi="Verdana" w:eastAsia="Verdana" w:cs="Verdana"/>
      <w:sz w:val="20"/>
      <w:szCs w:val="20"/>
      <w:lang w:val="es-ES"/>
    </w:rPr>
  </w:style>
  <w:style w:type="character" w:styleId="WW8Num33z1">
    <w:name w:val="WW8Num33z1"/>
    <w:qFormat/>
    <w:rPr>
      <w:rFonts w:ascii="Courier New" w:hAnsi="Courier New" w:eastAsia="Courier New" w:cs="Courier New"/>
    </w:rPr>
  </w:style>
  <w:style w:type="character" w:styleId="WW8Num33z0">
    <w:name w:val="WW8Num33z0"/>
    <w:qFormat/>
    <w:rPr>
      <w:rFonts w:ascii="Verdana" w:hAnsi="Verdana" w:eastAsia="Arial" w:cs="Verdana"/>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2z0">
    <w:name w:val="WW8Num32z0"/>
    <w:qFormat/>
    <w:rPr/>
  </w:style>
  <w:style w:type="character" w:styleId="WW8Num31z1">
    <w:name w:val="WW8Num31z1"/>
    <w:qFormat/>
    <w:rPr>
      <w:rFonts w:ascii="Courier New" w:hAnsi="Courier New" w:eastAsia="Courier New" w:cs="Courier New"/>
    </w:rPr>
  </w:style>
  <w:style w:type="character" w:styleId="WW8Num31z0">
    <w:name w:val="WW8Num31z0"/>
    <w:qFormat/>
    <w:rPr>
      <w:rFonts w:ascii="Verdana" w:hAnsi="Verdana" w:eastAsia="Verdana" w:cs="Verdana"/>
      <w:sz w:val="20"/>
      <w:szCs w:val="20"/>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30z0">
    <w:name w:val="WW8Num30z0"/>
    <w:qFormat/>
    <w:rPr>
      <w:rFonts w:ascii="Verdana" w:hAnsi="Verdana" w:eastAsia="Verdana" w:cs="Verdana"/>
      <w:b/>
      <w:i/>
      <w:sz w:val="20"/>
      <w:szCs w:val="20"/>
      <w:lang w:eastAsia="ar-SA"/>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9z0">
    <w:name w:val="WW8Num29z0"/>
    <w:qFormat/>
    <w:rPr>
      <w:rFonts w:ascii="Verdana" w:hAnsi="Verdana" w:eastAsia="Arial" w:cs="Verdana"/>
      <w:b/>
      <w:bCs/>
      <w:sz w:val="20"/>
      <w:szCs w:val="20"/>
      <w:lang w:val="es-ES"/>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7z1">
    <w:name w:val="WW8Num27z1"/>
    <w:qFormat/>
    <w:rPr>
      <w:rFonts w:ascii="Courier New" w:hAnsi="Courier New" w:eastAsia="Courier New" w:cs="Courier New"/>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style>
  <w:style w:type="character" w:styleId="WW8Num25z1">
    <w:name w:val="WW8Num25z1"/>
    <w:qFormat/>
    <w:rPr>
      <w:rFonts w:ascii="Courier New" w:hAnsi="Courier New" w:eastAsia="Courier New" w:cs="Courier New"/>
    </w:rPr>
  </w:style>
  <w:style w:type="character" w:styleId="WW8Num25z0">
    <w:name w:val="WW8Num25z0"/>
    <w:qFormat/>
    <w:rPr>
      <w:rFonts w:ascii="Verdana" w:hAnsi="Verdana" w:eastAsia="Verdana" w:cs="Verdana"/>
      <w:sz w:val="20"/>
      <w:szCs w:val="20"/>
      <w:lang w:val="es-ES"/>
    </w:rPr>
  </w:style>
  <w:style w:type="character" w:styleId="WW8Num24z1">
    <w:name w:val="WW8Num24z1"/>
    <w:qFormat/>
    <w:rPr>
      <w:rFonts w:ascii="Courier New" w:hAnsi="Courier New" w:eastAsia="Courier New" w:cs="Courier New"/>
    </w:rPr>
  </w:style>
  <w:style w:type="character" w:styleId="WW8Num24z0">
    <w:name w:val="WW8Num24z0"/>
    <w:qFormat/>
    <w:rPr>
      <w:rFonts w:ascii="Verdana" w:hAnsi="Verdana" w:eastAsia="Arial" w:cs="Verdana"/>
    </w:rPr>
  </w:style>
  <w:style w:type="character" w:styleId="WW8Num23z1">
    <w:name w:val="WW8Num23z1"/>
    <w:qFormat/>
    <w:rPr>
      <w:rFonts w:ascii="Courier New" w:hAnsi="Courier New" w:eastAsia="Courier New" w:cs="Courier New"/>
    </w:rPr>
  </w:style>
  <w:style w:type="character" w:styleId="WW8Num23z0">
    <w:name w:val="WW8Num23z0"/>
    <w:qFormat/>
    <w:rPr>
      <w:rFonts w:ascii="Verdana" w:hAnsi="Verdana" w:eastAsia="Verdana" w:cs="Verdana"/>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1z0">
    <w:name w:val="WW8Num21z0"/>
    <w:qFormat/>
    <w:rPr>
      <w:rFonts w:ascii="Verdana" w:hAnsi="Verdana" w:eastAsia="Verdana" w:cs="Verdana"/>
      <w:sz w:val="20"/>
      <w:szCs w:val="20"/>
      <w:lang w:eastAsia="es-ES"/>
    </w:rPr>
  </w:style>
  <w:style w:type="character" w:styleId="WW8Num20z1">
    <w:name w:val="WW8Num20z1"/>
    <w:qFormat/>
    <w:rPr>
      <w:rFonts w:ascii="Courier New" w:hAnsi="Courier New" w:eastAsia="Courier New" w:cs="Courier New"/>
    </w:rPr>
  </w:style>
  <w:style w:type="character" w:styleId="WW8Num20z0">
    <w:name w:val="WW8Num20z0"/>
    <w:qFormat/>
    <w:rPr>
      <w:rFonts w:ascii="Verdana" w:hAnsi="Verdana" w:eastAsia="Verdana" w:cs="Verdana"/>
      <w:sz w:val="20"/>
      <w:szCs w:val="20"/>
      <w:lang w:val="es-ES"/>
    </w:rPr>
  </w:style>
  <w:style w:type="character" w:styleId="WW8Num19z3">
    <w:name w:val="WW8Num19z3"/>
    <w:qFormat/>
    <w:rPr/>
  </w:style>
  <w:style w:type="character" w:styleId="WW8Num19z2">
    <w:name w:val="WW8Num19z2"/>
    <w:qFormat/>
    <w:rPr/>
  </w:style>
  <w:style w:type="character" w:styleId="WW8Num18z0">
    <w:name w:val="WW8Num18z0"/>
    <w:qFormat/>
    <w:rPr>
      <w:rFonts w:ascii="Verdana" w:hAnsi="Verdana" w:eastAsia="Arial" w:cs="Verdana"/>
    </w:rPr>
  </w:style>
  <w:style w:type="character" w:styleId="WW8Num15z0">
    <w:name w:val="WW8Num15z0"/>
    <w:qFormat/>
    <w:rPr>
      <w:rFonts w:ascii="Verdana" w:hAnsi="Verdana" w:eastAsia="Verdana" w:cs="Verdana"/>
      <w:spacing w:val="-6"/>
      <w:sz w:val="20"/>
      <w:szCs w:val="20"/>
      <w:lang w:val="es-ES"/>
    </w:rPr>
  </w:style>
  <w:style w:type="character" w:styleId="WW8Num11z0">
    <w:name w:val="WW8Num11z0"/>
    <w:qFormat/>
    <w:rPr>
      <w:rFonts w:ascii="Verdana" w:hAnsi="Verdana" w:eastAsia="Verdana" w:cs="Verdana"/>
      <w:sz w:val="20"/>
      <w:szCs w:val="20"/>
      <w:lang w:val="es-ES"/>
    </w:rPr>
  </w:style>
  <w:style w:type="character" w:styleId="WW8Num3z0">
    <w:name w:val="WW8Num3z0"/>
    <w:qFormat/>
    <w:rPr>
      <w:rFonts w:ascii="Verdana" w:hAnsi="Verdana" w:eastAsia="Verdana" w:cs="Verdana"/>
      <w:lang w:eastAsia="es-ES"/>
    </w:rPr>
  </w:style>
  <w:style w:type="character" w:styleId="Sangra3detindependienteCar">
    <w:name w:val="Sangría 3 de t. independiente Car"/>
    <w:qFormat/>
    <w:rPr>
      <w:sz w:val="16"/>
    </w:rPr>
  </w:style>
  <w:style w:type="character" w:styleId="TextonotapieCar">
    <w:name w:val="Texto nota pie Car"/>
    <w:qFormat/>
    <w:rPr>
      <w:rFonts w:ascii="Times New Roman" w:hAnsi="Times New Roman" w:eastAsia="Times New Roman"/>
    </w:rPr>
  </w:style>
  <w:style w:type="character" w:styleId="WW8Num28z0">
    <w:name w:val="WW8Num28z0"/>
    <w:qFormat/>
    <w:rPr>
      <w:rFonts w:ascii="Verdana" w:hAnsi="Verdana" w:eastAsia="Arial"/>
      <w:sz w:val="22"/>
      <w:szCs w:val="22"/>
    </w:rPr>
  </w:style>
  <w:style w:type="character" w:styleId="WW8Num19z0">
    <w:name w:val="WW8Num19z0"/>
    <w:qFormat/>
    <w:rPr/>
  </w:style>
  <w:style w:type="character" w:styleId="WW8Num6z0">
    <w:name w:val="WW8Num6z0"/>
    <w:qFormat/>
    <w:rPr>
      <w:rFonts w:ascii="Times New Roman" w:hAnsi="Times New Roman" w:eastAsia="Times New Roman"/>
      <w:sz w:val="20"/>
      <w:szCs w:val="20"/>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clear" w:pos="709"/>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Estilo1">
    <w:name w:val="Estilo1"/>
    <w:basedOn w:val="Ttulo2"/>
    <w:qFormat/>
    <w:pPr>
      <w:keepNext w:val="true"/>
      <w:spacing w:lineRule="exact" w:line="240" w:before="240" w:after="60"/>
    </w:pPr>
    <w:rPr>
      <w:rFonts w:ascii="Calibri" w:hAnsi="Calibri" w:eastAsia="Arial"/>
      <w:b/>
      <w:bCs/>
      <w:i/>
      <w:iCs/>
      <w:sz w:val="28"/>
      <w:szCs w:val="28"/>
      <w:lang w:eastAsia="ar-SA"/>
    </w:rPr>
  </w:style>
  <w:style w:type="paragraph" w:styleId="Textosinformato1">
    <w:name w:val="Texto sin formato1"/>
    <w:basedOn w:val="Normal"/>
    <w:qFormat/>
    <w:pPr>
      <w:spacing w:lineRule="exact" w:line="240" w:before="0" w:after="0"/>
    </w:pPr>
    <w:rPr>
      <w:rFonts w:eastAsia="Calibri"/>
      <w:szCs w:val="21"/>
      <w:lang w:eastAsia="ar-SA"/>
    </w:rPr>
  </w:style>
  <w:style w:type="paragraph" w:styleId="Parrafo22">
    <w:name w:val="parrafo_22"/>
    <w:basedOn w:val="Normal"/>
    <w:qFormat/>
    <w:pPr>
      <w:spacing w:lineRule="atLeast" w:line="240" w:before="360" w:after="180"/>
      <w:ind w:left="0" w:right="0" w:firstLine="360"/>
      <w:jc w:val="both"/>
    </w:pPr>
    <w:rPr>
      <w:rFonts w:ascii="Times New Roman" w:hAnsi="Times New Roman" w:eastAsia="Times New Roman"/>
      <w:sz w:val="20"/>
      <w:szCs w:val="20"/>
      <w:lang w:eastAsia="ar-SA"/>
    </w:rPr>
  </w:style>
  <w:style w:type="paragraph" w:styleId="Parrafo1">
    <w:name w:val="parrafo1"/>
    <w:basedOn w:val="Normal"/>
    <w:qFormat/>
    <w:pPr>
      <w:spacing w:lineRule="atLeast" w:line="240" w:before="180" w:after="180"/>
      <w:ind w:left="0" w:right="0" w:firstLine="360"/>
      <w:jc w:val="both"/>
    </w:pPr>
    <w:rPr>
      <w:rFonts w:ascii="Times New Roman" w:hAnsi="Times New Roman" w:eastAsia="Times New Roman"/>
      <w:sz w:val="20"/>
      <w:szCs w:val="20"/>
      <w:lang w:eastAsia="ar-SA"/>
    </w:rPr>
  </w:style>
  <w:style w:type="paragraph" w:styleId="NoSpacing">
    <w:name w:val="No Spacing"/>
    <w:qFormat/>
    <w:pPr>
      <w:widowControl/>
      <w:suppressAutoHyphens w:val="true"/>
      <w:kinsoku w:val="true"/>
      <w:overflowPunct w:val="true"/>
      <w:autoSpaceDE w:val="true"/>
      <w:bidi w:val="0"/>
    </w:pPr>
    <w:rPr>
      <w:rFonts w:ascii="Calibri" w:hAnsi="Calibri" w:eastAsia="Calibri" w:cs="Liberation Serif"/>
      <w:color w:val="auto"/>
      <w:kern w:val="2"/>
      <w:sz w:val="22"/>
      <w:szCs w:val="22"/>
      <w:lang w:val="es-ES" w:eastAsia="zh-CN" w:bidi="hi-IN"/>
    </w:rPr>
  </w:style>
  <w:style w:type="paragraph" w:styleId="ListParagraph">
    <w:name w:val="List Paragraph"/>
    <w:basedOn w:val="Normal"/>
    <w:qFormat/>
    <w:pPr>
      <w:widowControl w:val="false"/>
      <w:spacing w:lineRule="exact" w:line="240" w:before="0" w:after="0"/>
      <w:ind w:left="219" w:right="0" w:hanging="0"/>
    </w:pPr>
    <w:rPr>
      <w:rFonts w:ascii="Verdana" w:hAnsi="Verdana" w:eastAsia="Verdana"/>
      <w:lang w:val="en-US" w:eastAsia="ar-SA"/>
    </w:rPr>
  </w:style>
  <w:style w:type="paragraph" w:styleId="Western">
    <w:name w:val="western"/>
    <w:basedOn w:val="Normal"/>
    <w:qFormat/>
    <w:pPr>
      <w:spacing w:lineRule="exact" w:line="240" w:before="280" w:after="0"/>
    </w:pPr>
    <w:rPr>
      <w:rFonts w:ascii="Verdana" w:hAnsi="Verdana" w:eastAsia="Verdana"/>
      <w:lang w:eastAsia="ar-SA"/>
    </w:rPr>
  </w:style>
  <w:style w:type="paragraph" w:styleId="Sangra3detindependiente1">
    <w:name w:val="Sangría 3 de t. independiente1"/>
    <w:basedOn w:val="Normal"/>
    <w:qFormat/>
    <w:pPr>
      <w:spacing w:lineRule="exact" w:line="240" w:before="0" w:after="120"/>
      <w:ind w:left="283" w:right="0" w:hanging="0"/>
    </w:pPr>
    <w:rPr>
      <w:rFonts w:ascii="Times New Roman" w:hAnsi="Times New Roman" w:eastAsia="Times New Roman"/>
      <w:sz w:val="16"/>
      <w:szCs w:val="16"/>
      <w:lang w:eastAsia="ar-SA"/>
    </w:rPr>
  </w:style>
  <w:style w:type="paragraph" w:styleId="Textoindependiente21">
    <w:name w:val="Texto independiente 21"/>
    <w:basedOn w:val="Normal"/>
    <w:qFormat/>
    <w:pPr>
      <w:spacing w:lineRule="exact" w:line="480" w:before="0" w:after="120"/>
    </w:pPr>
    <w:rPr>
      <w:rFonts w:ascii="Times New Roman" w:hAnsi="Times New Roman" w:eastAsia="Times New Roman"/>
      <w:lang w:eastAsia="ar-SA"/>
    </w:rPr>
  </w:style>
  <w:style w:type="paragraph" w:styleId="Sangra2detindependiente1">
    <w:name w:val="Sangría 2 de t. independiente1"/>
    <w:basedOn w:val="Normal"/>
    <w:qFormat/>
    <w:pPr>
      <w:spacing w:lineRule="exact" w:line="480" w:before="0" w:after="120"/>
      <w:ind w:left="283" w:right="0" w:hanging="0"/>
    </w:pPr>
    <w:rPr>
      <w:rFonts w:ascii="Times New Roman" w:hAnsi="Times New Roman" w:eastAsia="Times New Roman"/>
      <w:lang w:eastAsia="ar-SA"/>
    </w:rPr>
  </w:style>
  <w:style w:type="paragraph" w:styleId="A">
    <w:name w:val="a"/>
    <w:basedOn w:val="Normal"/>
    <w:qFormat/>
    <w:pPr>
      <w:spacing w:lineRule="exact" w:line="240" w:before="280" w:after="280"/>
    </w:pPr>
    <w:rPr>
      <w:rFonts w:ascii="Times New Roman" w:hAnsi="Times New Roman" w:eastAsia="Times New Roman"/>
      <w:lang w:eastAsia="ar-SA"/>
    </w:rPr>
  </w:style>
  <w:style w:type="paragraph" w:styleId="TableParagraph">
    <w:name w:val="Table Paragraph"/>
    <w:basedOn w:val="Normal"/>
    <w:qFormat/>
    <w:pPr>
      <w:widowControl w:val="false"/>
      <w:spacing w:lineRule="exact" w:line="240" w:before="0" w:after="0"/>
      <w:ind w:left="110" w:right="0" w:hanging="0"/>
    </w:pPr>
    <w:rPr>
      <w:rFonts w:ascii="Verdana" w:hAnsi="Verdana" w:eastAsia="Verdana"/>
      <w:lang w:val="en-US" w:eastAsia="ar-SA"/>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30</TotalTime>
  <Application>LibreOffice/6.4.3.2$Windows_X86_64 LibreOffice_project/747b5d0ebf89f41c860ec2a39efd7cb15b54f2d8</Application>
  <Pages>2</Pages>
  <Words>701</Words>
  <CharactersWithSpaces>4478</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dcterms:modified xsi:type="dcterms:W3CDTF">2021-03-12T11:23:56Z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