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lang w:val="es-ES"/>
        </w:rPr>
      </w:pPr>
      <w:r>
        <w:rPr>
          <w:rFonts w:ascii="Roboto Slab" w:hAnsi="Roboto Slab"/>
          <w:b/>
          <w:bCs/>
          <w:color w:val="2A265A"/>
          <w:sz w:val="36"/>
          <w:szCs w:val="36"/>
          <w:u w:val="none"/>
          <w:lang w:val="es-ES"/>
        </w:rPr>
        <w:t>ACUERDOS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NUEVE DE DICIEMBRE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las sesión celebrada el día dos de diciembre de dos mil diecinueve, la misma son aprobadas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b/>
          <w:color w:val="040404"/>
          <w:spacing w:val="2"/>
          <w:sz w:val="22"/>
          <w:szCs w:val="22"/>
          <w:u w:val="none"/>
        </w:rPr>
        <w:t xml:space="preserve">A) </w:t>
      </w:r>
      <w:r>
        <w:rPr>
          <w:rFonts w:ascii="IBM Plex Sans" w:hAnsi="IBM Plex Sans"/>
          <w:b/>
          <w:color w:val="040404"/>
          <w:sz w:val="22"/>
          <w:szCs w:val="22"/>
          <w:u w:val="none"/>
        </w:rPr>
        <w:t xml:space="preserve">CERTIFICACIONES DE OBRAS.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pacing w:val="-3"/>
          <w:sz w:val="22"/>
          <w:szCs w:val="22"/>
          <w:u w:val="none"/>
          <w:lang w:val="es-ES_tradnl"/>
        </w:rPr>
        <w:t xml:space="preserve">1. </w:t>
      </w:r>
      <w:r>
        <w:rPr>
          <w:rFonts w:eastAsia="Verdana" w:cs="Verdana" w:ascii="IBM Plex Sans" w:hAnsi="IBM Plex Sans"/>
          <w:b/>
          <w:bCs/>
          <w:color w:val="040404"/>
          <w:sz w:val="22"/>
          <w:szCs w:val="22"/>
          <w:u w:val="none"/>
        </w:rPr>
        <w:t>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DIECISIETE (17) DEL “LOTE II: ALBAÑILERÍA Y OTROS” DE LA OBRA MERCADO AGRÍCOLA MUNICIPAL. FASE FINAL, </w:t>
      </w:r>
      <w:r>
        <w:rPr>
          <w:rFonts w:eastAsia="Verdana" w:cs="Verdana" w:ascii="IBM Plex Sans" w:hAnsi="IBM Plex Sans"/>
          <w:color w:val="040404"/>
          <w:sz w:val="22"/>
          <w:szCs w:val="22"/>
          <w:u w:val="none"/>
        </w:rPr>
        <w:t>con cargo a la aplicación presupuestaria 4312M.6220050, adjudicada a la empresa Multiservicios Verde Suárez, SL,</w:t>
      </w:r>
      <w:r>
        <w:rPr>
          <w:rFonts w:eastAsia="Verdana" w:cs="Verdana" w:ascii="IBM Plex Sans" w:hAnsi="IBM Plex Sans"/>
          <w:color w:val="040404"/>
          <w:spacing w:val="-3"/>
          <w:sz w:val="22"/>
          <w:szCs w:val="22"/>
          <w:u w:val="none"/>
          <w:lang w:val="es-ES_tradnl"/>
        </w:rPr>
        <w:t xml:space="preserve"> así como, suscrita por el Arquitecto, don Luis J. Castellano Bolaños, Arquitecto Técnico, don Francisco S. Estévez Rivero, y el Ingeniero Técnico, don Yone F. Díaz Pérez,  facultativos de este Ayuntamiento que comprenden la Dirección de dicha obra, por importe de 113.490,19 euros.</w:t>
      </w:r>
    </w:p>
    <w:p>
      <w:pPr>
        <w:pStyle w:val="Normal"/>
        <w:jc w:val="left"/>
        <w:rPr>
          <w:rFonts w:ascii="IBM Plex Sans" w:hAnsi="IBM Plex Sans" w:eastAsia="Verdana" w:cs="Verdana"/>
          <w:color w:val="040404"/>
          <w:spacing w:val="-3"/>
          <w:sz w:val="22"/>
          <w:szCs w:val="22"/>
          <w:u w:val="none"/>
          <w:lang w:val="es-ES_tradnl"/>
        </w:rPr>
      </w:pPr>
      <w:r>
        <w:rPr>
          <w:rFonts w:eastAsia="Verdana" w:cs="Verdana" w:ascii="IBM Plex Sans" w:hAnsi="IBM Plex Sans"/>
          <w:color w:val="040404"/>
          <w:spacing w:val="-3"/>
          <w:sz w:val="22"/>
          <w:szCs w:val="22"/>
          <w:u w:val="none"/>
          <w:lang w:val="es-ES_tradnl"/>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pacing w:val="-3"/>
          <w:sz w:val="22"/>
          <w:szCs w:val="22"/>
          <w:u w:val="none"/>
          <w:lang w:val="es-ES_tradnl"/>
        </w:rPr>
        <w:t xml:space="preserve">2. </w:t>
      </w:r>
      <w:r>
        <w:rPr>
          <w:rFonts w:eastAsia="Verdana" w:cs="Verdana" w:ascii="IBM Plex Sans" w:hAnsi="IBM Plex Sans"/>
          <w:b/>
          <w:bCs/>
          <w:color w:val="040404"/>
          <w:sz w:val="22"/>
          <w:szCs w:val="22"/>
          <w:u w:val="none"/>
        </w:rPr>
        <w:t>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UNO (1) DE LA OBRA </w:t>
      </w:r>
      <w:r>
        <w:rPr>
          <w:rFonts w:eastAsia="Verdana" w:cs="Verdana" w:ascii="IBM Plex Sans" w:hAnsi="IBM Plex Sans"/>
          <w:b/>
          <w:color w:val="040404"/>
          <w:sz w:val="22"/>
          <w:szCs w:val="22"/>
          <w:u w:val="none"/>
        </w:rPr>
        <w:t>“MEJORAS ALUMBRADO PÚBLICO POLÍGONO RESIDENCIAL DE ARINAGA: LOTE I: OBRA CIVIL”</w:t>
      </w:r>
      <w:r>
        <w:rPr>
          <w:rFonts w:eastAsia="Verdana" w:cs="Verdana" w:ascii="IBM Plex Sans" w:hAnsi="IBM Plex Sans"/>
          <w:color w:val="040404"/>
          <w:sz w:val="22"/>
          <w:szCs w:val="22"/>
          <w:u w:val="none"/>
        </w:rPr>
        <w:t xml:space="preserve">, con cargo a la aplicación presupuestaria 165A/6192000, adjudicada a la empresa Mantenimiento del Territorio Canario, SLU, </w:t>
      </w:r>
      <w:r>
        <w:rPr>
          <w:rFonts w:eastAsia="Verdana" w:cs="Verdana" w:ascii="IBM Plex Sans" w:hAnsi="IBM Plex Sans"/>
          <w:color w:val="040404"/>
          <w:spacing w:val="-3"/>
          <w:sz w:val="22"/>
          <w:szCs w:val="22"/>
          <w:u w:val="none"/>
          <w:lang w:val="es-ES_tradnl"/>
        </w:rPr>
        <w:t xml:space="preserve"> y suscrita por el Ingeniero Técnico Industrial, don Yone F. Díaz Pérez, facultativo de este Ayuntamiento que comprende la Dirección de dicha obra, por importe de 57.119,01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pacing w:val="-3"/>
          <w:sz w:val="22"/>
          <w:szCs w:val="22"/>
          <w:u w:val="none"/>
          <w:lang w:val="es-ES_tradnl"/>
        </w:rPr>
        <w:t xml:space="preserve">B) </w:t>
      </w:r>
      <w:r>
        <w:rPr>
          <w:rFonts w:eastAsia="Verdana" w:cs="Verdana" w:ascii="IBM Plex Sans" w:hAnsi="IBM Plex Sans"/>
          <w:b/>
          <w:color w:val="040404"/>
          <w:sz w:val="22"/>
          <w:szCs w:val="22"/>
          <w:u w:val="none"/>
          <w:lang w:val="es-ES_tradnl"/>
        </w:rPr>
        <w:t>APROBACIÓN DEL EXPEDIENTE Y DISPOSICIÓN DE LA APERTURA DE ADJUDICACIÓN MEDIANTE PROCEDIMIENTO ABIERTO SUJETO A REGULACIÓN ARMONIZADA DE “SUMINISTRO  INTEGRAL DE IMPRESIÓN, FOTOCOPIADO Y ESCANEADO EN RÉGIMEN DE ARRENDAMIENTO PARA LAS DISTINTAS DEPENDENCIAS MUNICIPALES DEL AYUNTAMIENTO DE AGÜIMES”.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 de la Junta de Gobierno Local, en sesión celebrada el día 30 de septiembre de 2019, se aprobó el inicio de expediente para la contratación de </w:t>
      </w:r>
      <w:r>
        <w:rPr>
          <w:rFonts w:eastAsia="Verdana" w:cs="Verdana" w:ascii="IBM Plex Sans" w:hAnsi="IBM Plex Sans"/>
          <w:b w:val="false"/>
          <w:bCs w:val="false"/>
          <w:color w:val="040404"/>
          <w:sz w:val="22"/>
          <w:szCs w:val="22"/>
          <w:u w:val="none"/>
          <w:lang w:val="es-ES_tradnl"/>
        </w:rPr>
        <w:t>“SUMINISTRO  INTEGRAL DE IMPRESIÓN, FOTOCOPIADO Y ESCANEADO EN RÉGIMEN DE ARRENDAMIENTO PARA LAS DISTINTAS DEPENDENCIAS MUNICIPALES DEL AYUNTAMIENTO DE AGÜIMES”,</w:t>
      </w:r>
      <w:r>
        <w:rPr>
          <w:rFonts w:eastAsia="Verdana" w:cs="Verdana" w:ascii="IBM Plex Sans" w:hAnsi="IBM Plex Sans"/>
          <w:color w:val="040404"/>
          <w:sz w:val="22"/>
          <w:szCs w:val="22"/>
          <w:u w:val="none"/>
          <w:lang w:val="es-ES_tradnl"/>
        </w:rPr>
        <w:t xml:space="preserve"> con lo que se </w:t>
      </w:r>
      <w:r>
        <w:rPr>
          <w:rFonts w:eastAsia="Verdana" w:cs="Verdana" w:ascii="IBM Plex Sans" w:hAnsi="IBM Plex Sans"/>
          <w:color w:val="040404"/>
          <w:sz w:val="22"/>
          <w:szCs w:val="22"/>
          <w:u w:val="none"/>
          <w:lang w:eastAsia="es-ES"/>
        </w:rPr>
        <w:t>pretende racionalizar el sistema de impresión y fotocopiado con que se cuenta actualmente, y actualizarlo mediante la incorporación del servicio de escaneado en red, con el fin de adaptarlo al desarrollo de los nuevos proyectos de administración electrónica que este Ayuntamiento está abordando, minimizando el número de dispositivos en funcionamiento dentro del Ayuntamiento de Agüimes.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sujeto a Regulación Armonizada.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Aprobar el gasto con cargo a la aplicación presupuestaria 920A/2279950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 RELATIVO AL PROYECTO “MEJORA ALUMBRADO PÚBLICO CASCO HISTÓRICO DE LA VILLA DE AGÜIMES. LOTE II: INSTALACIÓN ELÉCTRICA”.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acuerda por unanimidad dar su aprobación al contenido del precedente informe sobre la aprobación del proyecto </w:t>
      </w:r>
      <w:r>
        <w:rPr>
          <w:rFonts w:eastAsia="Verdana" w:cs="Verdana" w:ascii="IBM Plex Sans" w:hAnsi="IBM Plex Sans"/>
          <w:b w:val="false"/>
          <w:bCs w:val="false"/>
          <w:color w:val="040404"/>
          <w:sz w:val="22"/>
          <w:szCs w:val="22"/>
          <w:u w:val="none"/>
        </w:rPr>
        <w:t>“MEJORA ALUMBRADO PÚBLICO CASCO HISTÓRICO DE LA VILLA DE AGÜIMES. LOTE II: INSTALACIÓN ELÉCTRICA”,</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una vez procedido a la corrección de error de trascripción, con base al artículo 109.2 de la Ley 39/2015, de 1 de octubre, del Procedimiento Administrativo Común de las Administraciones Públicas,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D) PROPUESTA MEJOR OFERTA PARA LA ADJUDICACIÓN MEDIANTE  PROCEDIMIENTO ABIERTO, SIMPLIFICADO DEL CONTRATO DE OBRA </w:t>
      </w:r>
      <w:r>
        <w:rPr>
          <w:rFonts w:cs="Verdana" w:ascii="IBM Plex Sans" w:hAnsi="IBM Plex Sans"/>
          <w:b/>
          <w:bCs/>
          <w:color w:val="040404"/>
          <w:sz w:val="22"/>
          <w:szCs w:val="22"/>
          <w:u w:val="none"/>
        </w:rPr>
        <w:t xml:space="preserve"> </w:t>
      </w:r>
      <w:r>
        <w:rPr>
          <w:rFonts w:eastAsia="Verdana" w:cs="Verdana" w:ascii="IBM Plex Sans" w:hAnsi="IBM Plex Sans"/>
          <w:b/>
          <w:color w:val="040404"/>
          <w:sz w:val="22"/>
          <w:szCs w:val="22"/>
          <w:u w:val="none"/>
        </w:rPr>
        <w:t>“REMODELACIÓN DEL CAMPO DE FÚTBOL DE LAS ROSAS”</w:t>
      </w:r>
      <w:r>
        <w:rPr>
          <w:rFonts w:cs="Verdana" w:ascii="IBM Plex Sans" w:hAnsi="IBM Plex Sans"/>
          <w:b/>
          <w:bCs/>
          <w:color w:val="040404"/>
          <w:sz w:val="22"/>
          <w:szCs w:val="22"/>
          <w:u w:val="none"/>
        </w:rPr>
        <w:t xml:space="preserve">.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Acta de la Mesa de Contratación que propone como mejor oferta para la adjudicación mediante el procedimiento abierto, simplificado del contrato de obra  “REMODELACIÓN DEL CAMPO DE FÚTBOL DE LAS ROSAS”, a la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Cs/>
          <w:color w:val="040404"/>
          <w:sz w:val="22"/>
          <w:szCs w:val="22"/>
          <w:u w:val="none"/>
          <w:lang w:eastAsia="es-ES"/>
        </w:rPr>
        <w:t>La presentada por la entidad mercantil</w:t>
      </w:r>
      <w:r>
        <w:rPr>
          <w:rFonts w:eastAsia="Verdana" w:cs="Verdana" w:ascii="IBM Plex Sans" w:hAnsi="IBM Plex Sans"/>
          <w:b/>
          <w:bCs/>
          <w:color w:val="040404"/>
          <w:sz w:val="22"/>
          <w:szCs w:val="22"/>
          <w:u w:val="none"/>
          <w:lang w:eastAsia="es-ES"/>
        </w:rPr>
        <w:t xml:space="preserve"> </w:t>
      </w:r>
      <w:r>
        <w:rPr>
          <w:rFonts w:eastAsia="Arial-BoldMT" w:cs="Verdana" w:ascii="IBM Plex Sans" w:hAnsi="IBM Plex Sans"/>
          <w:b w:val="false"/>
          <w:bCs w:val="false"/>
          <w:color w:val="040404"/>
          <w:sz w:val="22"/>
          <w:szCs w:val="22"/>
          <w:u w:val="none"/>
          <w:lang w:eastAsia="es-ES"/>
        </w:rPr>
        <w:t>EQUIPUR CANARIAS SL,  con CIF ****5979*, por importe de DOSCIENTOS TREINTA Y CINCO MIL DOSCIENTOS SESENTA CON SETENTA Y CINCO (235.260,75€), más la cantidad de QUINCE MIL DOSCIENTOS NOVENTA Y UNO CON NOVENTA Y CINCO (15.291,95€)  EUROS correspondientes al 6,5% de IGIC,</w:t>
      </w:r>
      <w:r>
        <w:rPr>
          <w:rFonts w:eastAsia="Arial-BoldMT" w:cs="Verdana" w:ascii="IBM Plex Sans" w:hAnsi="IBM Plex Sans"/>
          <w:bCs/>
          <w:color w:val="040404"/>
          <w:sz w:val="22"/>
          <w:szCs w:val="22"/>
          <w:u w:val="none"/>
          <w:lang w:eastAsia="es-ES"/>
        </w:rPr>
        <w:t xml:space="preserve"> y las siguientes condiciones ofertadas, establecidas en la Tabla 1 del informe técnico: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Aumento del plazo de garantía: 5 años.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Test de durabilidad: 200.000 ciclos.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Las mejoras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Instalación del césped retirado.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Ampliación oficina del club.</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Suministro y colocación de red de protección.</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Suministro y colocación de slurry.</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xml:space="preserve"> </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Y la aceptación de la citada Acta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El gasto de la citada contratación se hará con cargo a la aplicación presupuestaria 342P6/6270052.</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Asimismo, se acuerda por esta misma Junta que se conceda, al licitador propuesto, el plazo de </w:t>
      </w:r>
      <w:r>
        <w:rPr>
          <w:rFonts w:eastAsia="Verdana" w:cs="Verdana" w:ascii="IBM Plex Sans" w:hAnsi="IBM Plex Sans"/>
          <w:b w:val="false"/>
          <w:bCs w:val="false"/>
          <w:color w:val="040404"/>
          <w:sz w:val="22"/>
          <w:szCs w:val="22"/>
          <w:u w:val="none"/>
        </w:rPr>
        <w:t xml:space="preserve">SIETE (7) DÍAS HÁBILES, a contar desde el siguiente a aquel en el que hubiera recibido el requerimiento, para que proceda a la constitución de la garantía definitiva por importe del 5% </w:t>
      </w:r>
      <w:r>
        <w:rPr>
          <w:rFonts w:eastAsia="Verdana" w:cs="Verdana" w:ascii="IBM Plex Sans" w:hAnsi="IBM Plex Sans"/>
          <w:b w:val="false"/>
          <w:bCs w:val="false"/>
          <w:color w:val="040404"/>
          <w:sz w:val="22"/>
          <w:szCs w:val="22"/>
          <w:u w:val="none"/>
          <w:lang w:val="es-ES_tradnl"/>
        </w:rPr>
        <w:t>del precio final ofertado</w:t>
      </w:r>
      <w:r>
        <w:rPr>
          <w:rFonts w:eastAsia="Verdana" w:cs="Verdana" w:ascii="IBM Plex Sans" w:hAnsi="IBM Plex Sans"/>
          <w:b w:val="false"/>
          <w:bCs w:val="false"/>
          <w:color w:val="040404"/>
          <w:sz w:val="22"/>
          <w:szCs w:val="22"/>
          <w:u w:val="none"/>
        </w:rPr>
        <w:t xml:space="preserve">, IGIC excluido, y documentación que corresponda, </w:t>
      </w:r>
      <w:r>
        <w:rPr>
          <w:rFonts w:eastAsia="Verdana" w:cs="Verdana" w:ascii="IBM Plex Sans" w:hAnsi="IBM Plex Sans"/>
          <w:color w:val="040404"/>
          <w:sz w:val="22"/>
          <w:szCs w:val="22"/>
          <w:u w:val="none"/>
        </w:rPr>
        <w:t>en cumplimiento con la cláusula 18 del pliego administrativo que lo rige.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color w:val="040404"/>
          <w:sz w:val="22"/>
          <w:szCs w:val="22"/>
          <w:u w:val="none"/>
        </w:rPr>
        <w:t xml:space="preserve">E) </w:t>
      </w:r>
      <w:r>
        <w:rPr>
          <w:rFonts w:eastAsia="Verdana" w:cs="Verdana" w:ascii="IBM Plex Sans" w:hAnsi="IBM Plex Sans"/>
          <w:b/>
          <w:caps/>
          <w:color w:val="040404"/>
          <w:sz w:val="22"/>
          <w:szCs w:val="22"/>
          <w:u w:val="none"/>
          <w:lang w:eastAsia="es-ES"/>
        </w:rPr>
        <w:t xml:space="preserve">desestimar la solicitud de revisión excepcional del precio del contrato DE </w:t>
      </w:r>
      <w:r>
        <w:rPr>
          <w:rFonts w:eastAsia="Verdana" w:cs="Verdana" w:ascii="IBM Plex Sans" w:hAnsi="IBM Plex Sans"/>
          <w:color w:val="040404"/>
          <w:sz w:val="22"/>
          <w:szCs w:val="22"/>
          <w:u w:val="none"/>
          <w:lang w:eastAsia="es-ES"/>
        </w:rPr>
        <w:t>“</w:t>
      </w:r>
      <w:r>
        <w:rPr>
          <w:rFonts w:eastAsia="Verdana" w:cs="Verdana" w:ascii="IBM Plex Sans" w:hAnsi="IBM Plex Sans"/>
          <w:b/>
          <w:color w:val="040404"/>
          <w:sz w:val="22"/>
          <w:szCs w:val="22"/>
          <w:u w:val="none"/>
          <w:lang w:eastAsia="es-ES"/>
        </w:rPr>
        <w:t>SERVICIO DE MANTENIMIENTO, TRATAMIENTO DEL AGUA Y PREVENCIÓN DE LA LEGIONELOSIS DE LAS FUENTES ORNAMENTALES DEL MUNICIPIO DE AGÜIMES” PRESENTADA POR LA EMPRESA ADJUDICATARIA EICOH EXPLOTACIONES, SLU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del precedente informe donde manifiesta desestimar la solicitud de revisión excepcional del precio del contrato de </w:t>
      </w:r>
      <w:r>
        <w:rPr>
          <w:rFonts w:eastAsia="Verdana" w:cs="Verdana" w:ascii="IBM Plex Sans" w:hAnsi="IBM Plex Sans"/>
          <w:b w:val="false"/>
          <w:bCs w:val="false"/>
          <w:color w:val="040404"/>
          <w:sz w:val="22"/>
          <w:szCs w:val="22"/>
          <w:u w:val="none"/>
          <w:lang w:eastAsia="es-ES"/>
        </w:rPr>
        <w:t>“SERVICIO DE MANTENIMIENTO, TRATAMIENTO DEL AGUA Y PREVENCIÓN DE LA LEGIONELOSIS DE LAS FUENTES ORNAMENTALES DEL MUNICIPIO DE AGÜIMES”, presentada por la empresa adjudicataria EICOH EXPLOTACIONES, SLU</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la aceptación del citado informe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Arial-BoldMT">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8085" cy="1066927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57" t="-40" r="-57" b="-40"/>
                  <a:stretch>
                    <a:fillRect/>
                  </a:stretch>
                </pic:blipFill>
                <pic:spPr bwMode="auto">
                  <a:xfrm>
                    <a:off x="0" y="0"/>
                    <a:ext cx="7538085" cy="10669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52z1">
    <w:name w:val="WW8Num52z1"/>
    <w:qFormat/>
    <w:rPr>
      <w:rFonts w:ascii="Courier New" w:hAnsi="Courier New" w:eastAsia="Courier New"/>
      <w:sz w:val="20"/>
    </w:rPr>
  </w:style>
  <w:style w:type="character" w:styleId="WW8Num51z1">
    <w:name w:val="WW8Num51z1"/>
    <w:qFormat/>
    <w:rPr>
      <w:rFonts w:ascii="Courier New" w:hAnsi="Courier New" w:eastAsia="Courier New"/>
      <w:sz w:val="20"/>
    </w:rPr>
  </w:style>
  <w:style w:type="character" w:styleId="WW8Num50z1">
    <w:name w:val="WW8Num50z1"/>
    <w:qFormat/>
    <w:rPr>
      <w:rFonts w:ascii="Courier New" w:hAnsi="Courier New" w:eastAsia="Courier New"/>
      <w:sz w:val="20"/>
    </w:rPr>
  </w:style>
  <w:style w:type="character" w:styleId="WW8Num49z1">
    <w:name w:val="WW8Num49z1"/>
    <w:qFormat/>
    <w:rPr>
      <w:rFonts w:ascii="Courier New" w:hAnsi="Courier New" w:eastAsia="Courier New"/>
      <w:sz w:val="20"/>
    </w:rPr>
  </w:style>
  <w:style w:type="character" w:styleId="WW8Num48z1">
    <w:name w:val="WW8Num48z1"/>
    <w:qFormat/>
    <w:rPr>
      <w:rFonts w:ascii="Courier New" w:hAnsi="Courier New" w:eastAsia="Courier New"/>
      <w:sz w:val="20"/>
    </w:rPr>
  </w:style>
  <w:style w:type="character" w:styleId="WW8Num47z1">
    <w:name w:val="WW8Num47z1"/>
    <w:qFormat/>
    <w:rPr>
      <w:rFonts w:ascii="Courier New" w:hAnsi="Courier New" w:eastAsia="Courier New"/>
      <w:sz w:val="20"/>
    </w:rPr>
  </w:style>
  <w:style w:type="character" w:styleId="WW8Num46z1">
    <w:name w:val="WW8Num46z1"/>
    <w:qFormat/>
    <w:rPr>
      <w:rFonts w:ascii="Courier New" w:hAnsi="Courier New" w:eastAsia="Courier New"/>
      <w:sz w:val="20"/>
    </w:rPr>
  </w:style>
  <w:style w:type="character" w:styleId="WW8Num45z1">
    <w:name w:val="WW8Num45z1"/>
    <w:qFormat/>
    <w:rPr>
      <w:rFonts w:ascii="Courier New" w:hAnsi="Courier New" w:eastAsia="Courier New"/>
      <w:sz w:val="20"/>
    </w:rPr>
  </w:style>
  <w:style w:type="character" w:styleId="WW8Num44z1">
    <w:name w:val="WW8Num44z1"/>
    <w:qFormat/>
    <w:rPr>
      <w:rFonts w:ascii="Courier New" w:hAnsi="Courier New" w:eastAsia="Courier New"/>
      <w:sz w:val="20"/>
    </w:rPr>
  </w:style>
  <w:style w:type="character" w:styleId="WW8Num43z1">
    <w:name w:val="WW8Num43z1"/>
    <w:qFormat/>
    <w:rPr>
      <w:rFonts w:ascii="Courier New" w:hAnsi="Courier New" w:eastAsia="Courier New"/>
      <w:sz w:val="20"/>
    </w:rPr>
  </w:style>
  <w:style w:type="character" w:styleId="WW8Num42z1">
    <w:name w:val="WW8Num42z1"/>
    <w:qFormat/>
    <w:rPr>
      <w:rFonts w:ascii="Courier New" w:hAnsi="Courier New" w:eastAsia="Courier New"/>
      <w:sz w:val="20"/>
    </w:rPr>
  </w:style>
  <w:style w:type="character" w:styleId="WW8Num41z1">
    <w:name w:val="WW8Num41z1"/>
    <w:qFormat/>
    <w:rPr>
      <w:rFonts w:ascii="Courier New" w:hAnsi="Courier New" w:eastAsia="Courier New"/>
      <w:sz w:val="20"/>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1">
    <w:name w:val="WW8Num39z1"/>
    <w:qFormat/>
    <w:rPr>
      <w:rFonts w:ascii="Courier New" w:hAnsi="Courier New" w:eastAsia="Courier New"/>
      <w:sz w:val="20"/>
    </w:rPr>
  </w:style>
  <w:style w:type="character" w:styleId="WW8Num38z1">
    <w:name w:val="WW8Num38z1"/>
    <w:qFormat/>
    <w:rPr>
      <w:rFonts w:ascii="Courier New" w:hAnsi="Courier New" w:eastAsia="Courier New"/>
      <w:sz w:val="20"/>
    </w:rPr>
  </w:style>
  <w:style w:type="character" w:styleId="WW8Num37z1">
    <w:name w:val="WW8Num37z1"/>
    <w:qFormat/>
    <w:rPr>
      <w:rFonts w:ascii="Courier New" w:hAnsi="Courier New" w:eastAsia="Courier New"/>
      <w:sz w:val="20"/>
    </w:rPr>
  </w:style>
  <w:style w:type="character" w:styleId="WW8Num36z1">
    <w:name w:val="WW8Num36z1"/>
    <w:qFormat/>
    <w:rPr>
      <w:rFonts w:ascii="Courier New" w:hAnsi="Courier New" w:eastAsia="Courier New"/>
      <w:sz w:val="20"/>
    </w:rPr>
  </w:style>
  <w:style w:type="character" w:styleId="WW8Num28z0">
    <w:name w:val="WW8Num28z0"/>
    <w:qFormat/>
    <w:rPr>
      <w:rFonts w:ascii="Arial-BoldMT" w:hAnsi="Arial-BoldMT" w:eastAsia="Arial-BoldMT"/>
      <w:sz w:val="20"/>
      <w:szCs w:val="20"/>
      <w:lang w:eastAsia="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TableParagraph">
    <w:name w:val="Table Paragraph"/>
    <w:basedOn w:val="Normal"/>
    <w:qFormat/>
    <w:pPr>
      <w:widowControl w:val="false"/>
      <w:spacing w:lineRule="exact" w:line="240" w:before="0" w:after="0"/>
    </w:pPr>
    <w:rPr>
      <w:rFonts w:ascii="Times New Roman" w:hAnsi="Times New Roman" w:eastAsia="Times New Roman"/>
      <w:lang w:eastAsia="ar-SA"/>
    </w:rPr>
  </w:style>
  <w:style w:type="paragraph" w:styleId="ListParagraph">
    <w:name w:val="List Paragraph"/>
    <w:basedOn w:val="Normal"/>
    <w:qFormat/>
    <w:pPr>
      <w:widowControl w:val="false"/>
      <w:spacing w:lineRule="exact" w:line="240" w:before="0" w:after="0"/>
      <w:ind w:left="219" w:right="0" w:hanging="0"/>
    </w:pPr>
    <w:rPr>
      <w:rFonts w:ascii="Verdana" w:hAnsi="Verdana" w:eastAsia="Verdana"/>
      <w:lang w:val="en-US" w:eastAsia="ar-SA"/>
    </w:rPr>
  </w:style>
  <w:style w:type="paragraph" w:styleId="Western">
    <w:name w:val="western"/>
    <w:basedOn w:val="Normal"/>
    <w:qFormat/>
    <w:pPr>
      <w:spacing w:lineRule="exact" w:line="240" w:before="280" w:after="119"/>
    </w:pPr>
    <w:rPr>
      <w:rFonts w:ascii="Times New Roman" w:hAnsi="Times New Roman" w:eastAsia="Times New Roman"/>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31</TotalTime>
  <Application>LibreOffice/6.4.3.2$Windows_X86_64 LibreOffice_project/747b5d0ebf89f41c860ec2a39efd7cb15b54f2d8</Application>
  <Pages>3</Pages>
  <Words>1091</Words>
  <CharactersWithSpaces>7170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2021-03-12T10:33:21Z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