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u w:val="none"/>
        </w:rPr>
      </w:pPr>
      <w:r>
        <w:rPr>
          <w:rFonts w:eastAsia="Verdana" w:cs="Verdana" w:ascii="Roboto Slab" w:hAnsi="Roboto Slab"/>
          <w:b/>
          <w:bCs/>
          <w:color w:val="000080"/>
          <w:sz w:val="36"/>
          <w:szCs w:val="36"/>
          <w:u w:val="none"/>
          <w:lang w:eastAsia="ar-SA"/>
        </w:rPr>
        <w:t>ACUERDOS</w:t>
      </w:r>
      <w:r>
        <w:rPr>
          <w:rFonts w:eastAsia="Verdana" w:cs="Verdana" w:ascii="Roboto Slab" w:hAnsi="Roboto Slab"/>
          <w:b/>
          <w:bCs/>
          <w:color w:val="000080"/>
          <w:sz w:val="36"/>
          <w:szCs w:val="36"/>
          <w:u w:val="none"/>
        </w:rPr>
        <w:t xml:space="preserve"> JUNTA DE GOBIERNO LOCAL</w:t>
      </w:r>
    </w:p>
    <w:p>
      <w:pPr>
        <w:pStyle w:val="Normal"/>
        <w:jc w:val="left"/>
        <w:rPr>
          <w:rFonts w:ascii="Roboto Slab" w:hAnsi="Roboto Slab"/>
          <w:b/>
          <w:b/>
          <w:bCs/>
          <w:color w:val="000080"/>
          <w:sz w:val="36"/>
          <w:szCs w:val="36"/>
          <w:u w:val="none"/>
        </w:rPr>
      </w:pPr>
      <w:r>
        <w:rPr>
          <w:rFonts w:ascii="Roboto Slab" w:hAnsi="Roboto Slab"/>
          <w:b/>
          <w:bCs/>
          <w:color w:val="000080"/>
          <w:sz w:val="36"/>
          <w:szCs w:val="36"/>
          <w:u w:val="none"/>
        </w:rPr>
        <w:t>VEINTIDÓS DE JUNIO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1. SECRETARIA GENERAL.</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2020/00005048P. LECTURA Y APROBACIÓN SI PROCEDE, DEL BORRADOR DEL ACTA DE LA SESIÓN CELEBRADA EL QUINCE DE JUNIO DE DOS MIL VEINTE.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quince de junio de dos mil veinte,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2. CONTRATACIÓN.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2020/00004925T. INICIO DE EXPEDIENTE PARA EL EJECUCIÓN DE LA OBRA "INTERVENCIÓN EN CENTROS ESCOLARES. LOTE I Y II".</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Atendiendo a lo expuesto, esta Junta de Gobierno Local, actuando por delegación de Alcaldía de conformidad con el decreto 2019/1563, de fecha 20 de junio, acuerda por unanimidad la aprobación del inicio de expediente para la licitación y posterior adjudicación del contrato de la obra</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aps/>
          <w:color w:val="040404"/>
          <w:sz w:val="22"/>
          <w:szCs w:val="22"/>
          <w:u w:val="none"/>
          <w:lang w:eastAsia="es-ES"/>
        </w:rPr>
        <w:t>"INTERVENCIÓN EN CENTROS ESCOLARES. LOTE I Y II"</w:t>
      </w:r>
      <w:r>
        <w:rPr>
          <w:rFonts w:eastAsia="Verdana" w:cs="Verdana" w:ascii="IBM Plex Sans" w:hAnsi="IBM Plex Sans"/>
          <w:b w:val="false"/>
          <w:bCs w:val="false"/>
          <w:color w:val="040404"/>
          <w:sz w:val="22"/>
          <w:szCs w:val="22"/>
          <w:u w:val="none"/>
        </w:rPr>
        <w:t>, y en cumplimiento con</w:t>
      </w:r>
      <w:r>
        <w:rPr>
          <w:rFonts w:eastAsia="Verdana" w:cs="Verdana" w:ascii="IBM Plex Sans" w:hAnsi="IBM Plex Sans"/>
          <w:color w:val="040404"/>
          <w:sz w:val="22"/>
          <w:szCs w:val="22"/>
          <w:u w:val="none"/>
        </w:rPr>
        <w:t xml:space="preserve"> el artículo 116.3 de la Ley 9/2017, de de 8 de noviembre, de Contratos del Sector Público, por la que se transponen al ordenamiento jurídico español las Directivas del Parlamento Europeo y del Consejo 2014/23/UE y 2014/24/UE, de 26 de febrero de 2014, se ordena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Intervención, se informe de la previsión de la aplicación presupuestaria.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el departamento de Contratación, se redacte el correspondiente Pliego de Cláusulas Administrativas Particulares.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Que por los Técnicos Municipales se redacte el Pliego de Prescripciones Técnicas pertinente, en su caso.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Asimismo, se faculta al Sr. Alcalde para realización de cuantas gestiones sean necesarias en el desarrollo de este acuerdo.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3. CONTRATACIÓN.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2020/00004992K. APROBACIÓN DEL EXPEDIENTE Y GASTO PARA LA ADJUDICACIÓN DEL CONTRATO DEL "SERVICIO DE PREVENCIÓN AJENO DE RIESGOS LABORALES, VIGILANCIA DE LA SALUD Y COORDINACIÓN DE SEGURIDAD Y SALUD EN OBRAS DE CONSTRUCCIÓN DEL AYUNTAMIENTO DE AGÜ</w:t>
      </w:r>
      <w:r>
        <w:rPr>
          <w:rFonts w:ascii="IBM Plex Sans" w:hAnsi="IBM Plex Sans"/>
          <w:b/>
          <w:bCs/>
          <w:color w:val="040404"/>
          <w:sz w:val="22"/>
          <w:szCs w:val="22"/>
          <w:u w:val="none"/>
        </w:rPr>
        <w:t>IMES</w:t>
      </w:r>
      <w:r>
        <w:rPr>
          <w:rFonts w:ascii="IBM Plex Sans" w:hAnsi="IBM Plex Sans"/>
          <w:b/>
          <w:bCs/>
          <w:color w:val="040404"/>
          <w:sz w:val="22"/>
          <w:szCs w:val="22"/>
          <w:u w:val="none"/>
        </w:rPr>
        <w:t>".</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Mediante acuerdo de la Junta de Gobierno Local, en sesión celebrada el día 11 de mayo de 2020, se aprobó el inicio de expediente para la contratación  del </w:t>
      </w:r>
      <w:r>
        <w:rPr>
          <w:rFonts w:eastAsia="Arial" w:cs="Verdana" w:ascii="IBM Plex Sans" w:hAnsi="IBM Plex Sans"/>
          <w:b w:val="false"/>
          <w:bCs w:val="false"/>
          <w:caps/>
          <w:color w:val="040404"/>
          <w:sz w:val="22"/>
          <w:szCs w:val="22"/>
          <w:u w:val="none"/>
          <w:lang w:eastAsia="es-ES"/>
        </w:rPr>
        <w:t>"SERVICIO DE PREVENCIÓN AJENO DE RIESGOS LABORALES, VIGILANCIA DE LA SALUD Y COORDINACIÓN DE SEGURIDAD Y SALUD EN OBRAS DE CONSTRUCCIÓN DEL AYUNTAMIENTO DE AGÜimes"</w:t>
      </w:r>
      <w:r>
        <w:rPr>
          <w:rFonts w:eastAsia="Arial" w:cs="Verdana" w:ascii="IBM Plex Sans" w:hAnsi="IBM Plex Sans"/>
          <w:b w:val="false"/>
          <w:bCs w:val="false"/>
          <w:color w:val="040404"/>
          <w:sz w:val="22"/>
          <w:szCs w:val="22"/>
          <w:u w:val="none"/>
          <w:lang w:eastAsia="es-ES"/>
        </w:rPr>
        <w:t>.</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Completado el expediente de contratación y en conformidad con lo dispuesto en el artículo 117 de la Ley de Contratos del Sector Público, esta Junta de Gobierno Local, </w:t>
      </w:r>
      <w:r>
        <w:rPr>
          <w:rFonts w:eastAsia="Verdana" w:cs="Verdana" w:ascii="IBM Plex Sans" w:hAnsi="IBM Plex Sans"/>
          <w:color w:val="040404"/>
          <w:sz w:val="22"/>
          <w:szCs w:val="22"/>
          <w:u w:val="none"/>
        </w:rPr>
        <w:t>actuando por delegación de Alcaldía de conformidad con el decreto 2019/1563,</w:t>
      </w:r>
      <w:r>
        <w:rPr>
          <w:rFonts w:eastAsia="Verdana" w:cs="Verdana" w:ascii="IBM Plex Sans" w:hAnsi="IBM Plex Sans"/>
          <w:color w:val="040404"/>
          <w:sz w:val="22"/>
          <w:szCs w:val="22"/>
          <w:u w:val="none"/>
          <w:lang w:val="es-ES_tradnl"/>
        </w:rPr>
        <w:t xml:space="preserve"> </w:t>
      </w:r>
      <w:r>
        <w:rPr>
          <w:rFonts w:eastAsia="Verdana" w:cs="Verdana" w:ascii="IBM Plex Sans" w:hAnsi="IBM Plex Sans"/>
          <w:color w:val="040404"/>
          <w:sz w:val="22"/>
          <w:szCs w:val="22"/>
          <w:u w:val="none"/>
        </w:rPr>
        <w:t xml:space="preserve">de fecha 20 de junio, </w:t>
      </w:r>
      <w:r>
        <w:rPr>
          <w:rFonts w:eastAsia="Verdana" w:cs="Verdana" w:ascii="IBM Plex Sans" w:hAnsi="IBM Plex Sans"/>
          <w:color w:val="040404"/>
          <w:sz w:val="22"/>
          <w:szCs w:val="22"/>
          <w:u w:val="none"/>
          <w:lang w:val="es-ES_tradnl"/>
        </w:rPr>
        <w:t>acuerda por unanimidad:</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2. Disponer la apertura de adjudicación mediante el procedimiento abierto y sujeto a Regulación Armonizada.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lang w:val="es-ES_tradnl"/>
        </w:rPr>
        <w:t xml:space="preserve">3. </w:t>
      </w:r>
      <w:r>
        <w:rPr>
          <w:rFonts w:eastAsia="Verdana" w:cs="Verdana" w:ascii="IBM Plex Sans" w:hAnsi="IBM Plex Sans"/>
          <w:color w:val="040404"/>
          <w:sz w:val="22"/>
          <w:szCs w:val="22"/>
          <w:u w:val="none"/>
          <w:lang w:eastAsia="es-ES"/>
        </w:rPr>
        <w:t>Aprobar el gasto con cargo a las siguientes aplicaciones presupuestarias: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- 221A/2270152 (RC12020000007975) – Contratación servicios de prevención de riesgos laborales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- 221A/1620570 (RC12020000007975) – Contingencias y vigilancia salud del personal.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- 150A/2270155 (RC120200000074976) – Servicio de coordinación seguridad y salud en ejecución obras.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4. Facultar al Sr. Alcalde para la realización de cuantas gestiones sean necesarias y se deriven de dicho expediente.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Arial" w:cs="Verdana" w:ascii="IBM Plex Sans" w:hAnsi="IBM Plex Sans"/>
          <w:color w:val="040404"/>
          <w:sz w:val="22"/>
          <w:szCs w:val="22"/>
          <w:u w:val="none"/>
        </w:rPr>
        <w:t xml:space="preserve"> </w:t>
      </w:r>
      <w:r>
        <w:rPr>
          <w:rFonts w:eastAsia="Arial" w:cs="Verdana" w:ascii="IBM Plex Sans" w:hAnsi="IBM Plex Sans"/>
          <w:b/>
          <w:caps/>
          <w:color w:val="040404"/>
          <w:sz w:val="22"/>
          <w:szCs w:val="22"/>
          <w:u w:val="none"/>
          <w:lang w:eastAsia="es-ES"/>
        </w:rPr>
        <w:t xml:space="preserve">4.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2020/00000760A. CERTIFICACIÓN NÚMERO UNO DE LA OBRA "REMODELACIÓN DEL CAMPO DE FÚTBOL DE LAS ROSAS".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uno (1) de la obra </w:t>
      </w:r>
      <w:r>
        <w:rPr>
          <w:rFonts w:eastAsia="Arial" w:cs="Arial" w:ascii="IBM Plex Sans" w:hAnsi="IBM Plex Sans"/>
          <w:b w:val="false"/>
          <w:bCs w:val="false"/>
          <w:color w:val="040404"/>
          <w:sz w:val="22"/>
          <w:szCs w:val="22"/>
          <w:u w:val="none"/>
          <w:lang w:eastAsia="es-ES"/>
        </w:rPr>
        <w:t>"REMODELACIÓN DEL CAMPO DE FÚTBOL DE LAS ROSAS"</w:t>
      </w:r>
      <w:r>
        <w:rPr>
          <w:rFonts w:eastAsia="Verdana" w:cs="Verdana" w:ascii="IBM Plex Sans" w:hAnsi="IBM Plex Sans"/>
          <w:b w:val="false"/>
          <w:bCs w:val="false"/>
          <w:color w:val="040404"/>
          <w:sz w:val="22"/>
          <w:szCs w:val="22"/>
          <w:u w:val="none"/>
        </w:rPr>
        <w:t>, con cargo a la aplicac</w:t>
      </w:r>
      <w:r>
        <w:rPr>
          <w:rFonts w:eastAsia="Verdana" w:cs="Verdana" w:ascii="IBM Plex Sans" w:hAnsi="IBM Plex Sans"/>
          <w:color w:val="040404"/>
          <w:sz w:val="22"/>
          <w:szCs w:val="22"/>
          <w:u w:val="none"/>
        </w:rPr>
        <w:t xml:space="preserve">ión presupuestaria </w:t>
      </w:r>
      <w:r>
        <w:rPr>
          <w:rFonts w:eastAsia="TimesNewRomanPS-BoldMT" w:cs="Verdana" w:ascii="IBM Plex Sans" w:hAnsi="IBM Plex Sans"/>
          <w:bCs/>
          <w:color w:val="040404"/>
          <w:sz w:val="22"/>
          <w:szCs w:val="22"/>
          <w:u w:val="none"/>
          <w:lang w:eastAsia="es-ES"/>
        </w:rPr>
        <w:t>342P6/6270052</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EQUIPUR CANARIAS, SL</w:t>
      </w:r>
      <w:r>
        <w:rPr>
          <w:rFonts w:eastAsia="Verdana" w:cs="Verdana" w:ascii="IBM Plex Sans" w:hAnsi="IBM Plex Sans"/>
          <w:color w:val="040404"/>
          <w:spacing w:val="-3"/>
          <w:sz w:val="22"/>
          <w:szCs w:val="22"/>
          <w:u w:val="none"/>
          <w:lang w:val="es-ES_tradnl"/>
        </w:rPr>
        <w:t xml:space="preserve">, así como, suscrita por el Arquitecto Técnico, don Francisco Estévez Rivero,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22.627,27</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5. AREA DE DESARROLLO LOCAL.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2019/00009193H. ACUERDO MARCO PARA EL DESARROLLO DEL PROGRAMA DE FORMACIÓN DUAL INSERTA PARA TITULADOS UNIVERSITARIOS O DE FORMACIÓN PROFESIONAL ENTRE EL AYUNTAMIENTO DE AGÜIMES Y LA FUNDACIÓN CANARIA UNIVERSITARIA DE LAS PALMAS.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lo siguiente: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1. Aprobar el borrador del Acuerdo Marco para el Desarrollo del Programa de Formación Dual Inserta para Titulados Universitarios o de Formación Profesional entre el Ayuntamiento de Agüimes y la Fundación Canaria Universitaria de Las Palmas.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2. Aprobar el gasto en la cantidad de 85.000 euros con cargo a la aplicación presupuestaria </w:t>
      </w:r>
      <w:r>
        <w:rPr>
          <w:rFonts w:eastAsia="Verdana" w:cs="Verdana" w:ascii="IBM Plex Sans" w:hAnsi="IBM Plex Sans"/>
          <w:color w:val="040404"/>
          <w:sz w:val="22"/>
          <w:szCs w:val="22"/>
          <w:u w:val="none"/>
          <w:lang w:eastAsia="es-ES"/>
        </w:rPr>
        <w:t>920A/4800127</w:t>
      </w:r>
      <w:r>
        <w:rPr>
          <w:rFonts w:eastAsia="Verdana" w:cs="Verdana" w:ascii="IBM Plex Sans" w:hAnsi="IBM Plex Sans"/>
          <w:color w:val="040404"/>
          <w:sz w:val="22"/>
          <w:szCs w:val="22"/>
          <w:u w:val="none"/>
        </w:rPr>
        <w:t>, según informe del Interventor municipal de fecha 29 de abril de 2020.</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3. Facultar al Sr. Alcalde para la firma del mismo y realización de cuantas gestiones sean necesarias.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6. OBRAS PARTICULARES. </w:t>
      </w:r>
    </w:p>
    <w:p>
      <w:pPr>
        <w:pStyle w:val="Normal"/>
        <w:jc w:val="left"/>
        <w:rPr>
          <w:rFonts w:ascii="IBM Plex Sans" w:hAnsi="IBM Plex Sans"/>
          <w:color w:val="040404"/>
          <w:sz w:val="22"/>
          <w:szCs w:val="22"/>
          <w:u w:val="none"/>
        </w:rPr>
      </w:pPr>
      <w:r>
        <w:rPr>
          <w:rFonts w:eastAsia="Arial" w:cs="Verdana" w:ascii="IBM Plex Sans" w:hAnsi="IBM Plex Sans"/>
          <w:b/>
          <w:caps/>
          <w:color w:val="040404"/>
          <w:sz w:val="22"/>
          <w:szCs w:val="22"/>
          <w:u w:val="none"/>
          <w:lang w:eastAsia="es-ES"/>
        </w:rPr>
        <w:t xml:space="preserve">Número: 2020/00006037P. RELATIVO A </w:t>
      </w:r>
      <w:r>
        <w:rPr>
          <w:rFonts w:eastAsia="Arial" w:cs="Verdana" w:ascii="IBM Plex Sans" w:hAnsi="IBM Plex Sans"/>
          <w:b/>
          <w:color w:val="040404"/>
          <w:sz w:val="22"/>
          <w:szCs w:val="22"/>
          <w:u w:val="none"/>
          <w:lang w:eastAsia="es-ES"/>
        </w:rPr>
        <w:t xml:space="preserve">LICENCIA DE OCUPACIÓN DE VÍA CON MESAS Y SILLAS Y OTROS ELEMENTOS ANÁLOGOS EN AVENIDA POLIZÓN NÚMERO 105 A INSTANCIA DE DON DAVID ESTÉVEZ HERRERA.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respecto a la licencia de ocupación con mesas y sillas y otros elementos análogos en la Avenida Polizón número 105, a instancia de don David Estévez Herrera</w:t>
      </w:r>
      <w:r>
        <w:rPr>
          <w:rFonts w:eastAsia="Tahoma" w:cs="Verdana" w:ascii="IBM Plex Sans" w:hAnsi="IBM Plex Sans"/>
          <w:b w:val="false"/>
          <w:bCs w:val="false"/>
          <w:color w:val="040404"/>
          <w:sz w:val="22"/>
          <w:szCs w:val="22"/>
          <w:u w:val="none"/>
          <w:lang w:eastAsia="es-ES"/>
        </w:rPr>
        <w:t>,</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7.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2020/00006674R. APROBACIÓN MEMORIA VALORADA PARA LA EJECUCIÓN DE LA OBRA "MEJORAS EN EL ESCENARIO DE LA PLAZA DE MONTAÑA DE LOS VÉLEZ".</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 la Memoria Valorada de la obra </w:t>
      </w:r>
      <w:r>
        <w:rPr>
          <w:rFonts w:eastAsia="Arial" w:cs="Verdana" w:ascii="IBM Plex Sans" w:hAnsi="IBM Plex Sans"/>
          <w:b w:val="false"/>
          <w:bCs w:val="false"/>
          <w:color w:val="040404"/>
          <w:sz w:val="22"/>
          <w:szCs w:val="22"/>
          <w:u w:val="none"/>
          <w:lang w:eastAsia="es-ES"/>
        </w:rPr>
        <w:t>"MEJORAS EN EL ESCENARIO DE LA PLAZA DE MONTAÑA DE LOS VÉLEZ"</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redactado  por la Arquitecta Técnico de este Ayuntamiento, doña Carmen Olmo Galán, con un presupuesto total de ejecución por contrata de 22.722,30 euros (IGIC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8.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2020/00006641Z. APROBACIÓN DE PROYECTO DE EJECUCIÓN DE OBRA "MEJORA ALUMBRADO PÚBLICO CALLE ALCALÁ GALIANO - FASE I". LOTE I Y II.</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Esta Junta de Gobierno Local, actuando por delegación de Alcaldía de conformidad con el decreto 2019/1563, de fecha 20 de junio, acuerda por unanimidad la aprobación del proyecto de la obra</w:t>
      </w:r>
      <w:r>
        <w:rPr>
          <w:rFonts w:eastAsia="Verdana" w:cs="Verdana" w:ascii="IBM Plex Sans" w:hAnsi="IBM Plex Sans"/>
          <w:b w:val="false"/>
          <w:bCs w:val="false"/>
          <w:color w:val="040404"/>
          <w:sz w:val="22"/>
          <w:szCs w:val="22"/>
          <w:u w:val="none"/>
        </w:rPr>
        <w:t xml:space="preserve"> </w:t>
      </w:r>
      <w:r>
        <w:rPr>
          <w:rFonts w:eastAsia="Arial" w:cs="Verdana" w:ascii="IBM Plex Sans" w:hAnsi="IBM Plex Sans"/>
          <w:b w:val="false"/>
          <w:bCs w:val="false"/>
          <w:caps/>
          <w:color w:val="040404"/>
          <w:sz w:val="22"/>
          <w:szCs w:val="22"/>
          <w:u w:val="none"/>
          <w:lang w:eastAsia="es-ES"/>
        </w:rPr>
        <w:t>"MEJORA ALUMBRADO PÚBLICO CALLE ALCALÁ GALIANO - FASE I". LOTE I Y II</w:t>
      </w:r>
      <w:r>
        <w:rPr>
          <w:rFonts w:eastAsia="Verdana" w:cs="Verdana" w:ascii="IBM Plex Sans" w:hAnsi="IBM Plex Sans"/>
          <w:b w:val="false"/>
          <w:bCs w:val="false"/>
          <w:color w:val="040404"/>
          <w:sz w:val="22"/>
          <w:szCs w:val="22"/>
          <w:u w:val="none"/>
        </w:rPr>
        <w:t xml:space="preserve">,  redactado  por el Ingeniero Técnico Industrial de este Ayuntamiento, don Yone F. Díaz Pérez, y supervisado por el Ingeniero Municipal, don Ariel Bruno Sánchez, con un presupuesto total de ejecución por contrata </w:t>
      </w:r>
      <w:r>
        <w:rPr>
          <w:rFonts w:eastAsia="Verdana-Bold" w:cs="Verdana" w:ascii="IBM Plex Sans" w:hAnsi="IBM Plex Sans"/>
          <w:b w:val="false"/>
          <w:bCs w:val="false"/>
          <w:color w:val="040404"/>
          <w:sz w:val="22"/>
          <w:szCs w:val="22"/>
          <w:u w:val="none"/>
          <w:lang w:eastAsia="es-ES"/>
        </w:rPr>
        <w:t>225.011</w:t>
      </w:r>
      <w:r>
        <w:rPr>
          <w:rFonts w:eastAsia="Verdana" w:cs="Verdana" w:ascii="IBM Plex Sans" w:hAnsi="IBM Plex Sans"/>
          <w:b w:val="false"/>
          <w:bCs w:val="false"/>
          <w:color w:val="040404"/>
          <w:sz w:val="22"/>
          <w:szCs w:val="22"/>
          <w:u w:val="none"/>
        </w:rPr>
        <w:t>,70 euros (IGIC inclui</w:t>
      </w:r>
      <w:r>
        <w:rPr>
          <w:rFonts w:eastAsia="Verdana" w:cs="Verdana" w:ascii="IBM Plex Sans" w:hAnsi="IBM Plex Sans"/>
          <w:color w:val="040404"/>
          <w:sz w:val="22"/>
          <w:szCs w:val="22"/>
          <w:u w:val="none"/>
        </w:rPr>
        <w:t>do), siendo por cada uno de sus lotes como sigue: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I: OBRA CIVIL Y JARDINERÍA, con un presupuesto total de 96.452,87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LOTE II: INSTALACIÓN ELÉCTRICA, con un presupuesto total de 128.558,83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9.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2020/00006675W. APROBACIÓN MEMORIA VALORADA PARA LA EJECUCIÓN DE LA OBRA "REPARACIÓN DE CUBIERTA METÁLICA EN TERRERO DE LUCHA CANARIA DE PLAYA DE ARINAGA.</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la aprobación de la Memoria Valorada de la obra </w:t>
      </w:r>
      <w:r>
        <w:rPr>
          <w:rFonts w:eastAsia="Arial" w:cs="Verdana" w:ascii="IBM Plex Sans" w:hAnsi="IBM Plex Sans"/>
          <w:b w:val="false"/>
          <w:bCs w:val="false"/>
          <w:color w:val="040404"/>
          <w:sz w:val="22"/>
          <w:szCs w:val="22"/>
          <w:u w:val="none"/>
          <w:lang w:eastAsia="es-ES"/>
        </w:rPr>
        <w:t>"REPARACIÓN DE CUBIERTA METÁLICA EN TERRERO DE LUCHA CANARIA DE PLAYA DE ARINAGA"</w:t>
      </w:r>
      <w:r>
        <w:rPr>
          <w:rFonts w:eastAsia="Verdana" w:cs="Verdana" w:ascii="IBM Plex Sans" w:hAnsi="IBM Plex Sans"/>
          <w:b w:val="false"/>
          <w:bCs w:val="false"/>
          <w:color w:val="040404"/>
          <w:sz w:val="22"/>
          <w:szCs w:val="22"/>
          <w:u w:val="none"/>
        </w:rPr>
        <w:t>, redactado  por el Ingeniero de este Ayuntamiento, don A</w:t>
      </w:r>
      <w:r>
        <w:rPr>
          <w:rFonts w:eastAsia="Verdana" w:cs="Verdana" w:ascii="IBM Plex Sans" w:hAnsi="IBM Plex Sans"/>
          <w:color w:val="040404"/>
          <w:sz w:val="22"/>
          <w:szCs w:val="22"/>
          <w:u w:val="none"/>
        </w:rPr>
        <w:t>riel Bruno Pérez Sánchez, con un presupuesto total de ejecución por contrata de 2.963,90 euros (IGIC incluido).</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10. ASESORIA JURIDICA.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2019/00016990J. DESISTIR DEL PROCEDIMIENTO ORDINARIO 447/2019 QUE SE SIGUE RESPECTO AL RECURSO CONTENCIOSO ADMINISTRATIVO PRESENTADO CONTRA ACUERDO COMPENSACIÓN DE DEUDA CON SUBVENCIÓN FDCAN 2018.</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y en base a ello desistir del Procedimiento Ordinario 447/2019, que se sigue ante el Juzgado Contencioso Administrativo, nº 4 de Las Palmas de GC, respecto al Recurso Contencioso Administrativo interpuesto por este Ayuntamiento contra </w:t>
      </w:r>
      <w:r>
        <w:rPr>
          <w:rFonts w:eastAsia="Arial" w:cs="Verdana" w:ascii="IBM Plex Sans" w:hAnsi="IBM Plex Sans"/>
          <w:b w:val="false"/>
          <w:bCs w:val="false"/>
          <w:color w:val="040404"/>
          <w:sz w:val="22"/>
          <w:szCs w:val="22"/>
          <w:u w:val="none"/>
        </w:rPr>
        <w:t>acuerdo de la Consejería de Hacienda del Cabildo de Gran Canaria relativo a la compensación de deudas sobre la cantidad del importe de las  subvenciones, intereses de demora y recargo en la ejecución,  concedidas para las obras de “Mejora de la Iluminación y red de alumbrado de la zona B de la Fase II del Polígono Industrial de Arinaga” y, para las obras de “Pavimentación asfáltica del viario del sector P-3 Sur  de la fase II del Polígono Industrial  de Arinaga”</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11.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2019/00004620E. CERTIFICACIÓN NÚMERO SIETE DEL LOTE Nº V: INSTALACIÓN ELÉCTRICA EN BAJA TENSIÓN Y ALUMBRADO EXTERIOR DE LA OBRA "MERCADO AGRÍCOLA MUNICIPAL - FASE FINAL".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siete (7) del </w:t>
      </w:r>
      <w:r>
        <w:rPr>
          <w:rFonts w:eastAsia="Arial" w:cs="Arial" w:ascii="IBM Plex Sans" w:hAnsi="IBM Plex Sans"/>
          <w:b w:val="false"/>
          <w:bCs w:val="false"/>
          <w:color w:val="040404"/>
          <w:sz w:val="22"/>
          <w:szCs w:val="22"/>
          <w:u w:val="none"/>
          <w:lang w:eastAsia="es-ES"/>
        </w:rPr>
        <w:t>LOTE Nº V: INSTALACIÓN ELÉCTRICA EN BAJA TENSIÓN Y ALUMBRADO de la obra "MERCADO AGRÍCOLA MUNICIPAL - FASE FINAL"</w:t>
      </w:r>
      <w:r>
        <w:rPr>
          <w:rFonts w:eastAsia="Verdana" w:cs="Verdana" w:ascii="IBM Plex Sans" w:hAnsi="IBM Plex Sans"/>
          <w:b w:val="false"/>
          <w:bCs w:val="false"/>
          <w:color w:val="040404"/>
          <w:sz w:val="22"/>
          <w:szCs w:val="22"/>
          <w:u w:val="none"/>
        </w:rPr>
        <w:t xml:space="preserve">, con cargo a la aplicación </w:t>
      </w:r>
      <w:r>
        <w:rPr>
          <w:rFonts w:eastAsia="Verdana" w:cs="Verdana" w:ascii="IBM Plex Sans" w:hAnsi="IBM Plex Sans"/>
          <w:color w:val="040404"/>
          <w:sz w:val="22"/>
          <w:szCs w:val="22"/>
          <w:u w:val="none"/>
        </w:rPr>
        <w:t>presupuestaria 4312M/6220050,</w:t>
      </w:r>
      <w:r>
        <w:rPr>
          <w:rFonts w:eastAsia="Verdana" w:cs="Verdana" w:ascii="IBM Plex Sans" w:hAnsi="IBM Plex Sans"/>
          <w:color w:val="040404"/>
          <w:spacing w:val="-3"/>
          <w:sz w:val="22"/>
          <w:szCs w:val="22"/>
          <w:u w:val="none"/>
          <w:lang w:val="es-ES_tradnl"/>
        </w:rPr>
        <w:t xml:space="preserve"> adjudicada a la empresa IMESAPI, SA, así como, suscrita por el Ingeniero Técnico Industrial, don Yone F. Díaz Pérez, el Arquitecto, don Luis J. Castellano Bolaños y el Arquitecto Técnico, don Francisco S. Estévez Rivero, facultativos de este Ayuntamiento que comprenden la Dirección de dicha obra, por importe de 29.322,56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12.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2019/00015341C. CERTIFICACIÓN NÚMERO TRES DEL LOTE Nº VI: INSTALACIÓN PROTECCIÓN CONTRA INCENDIOS DE LA OBRA "MERCADO AGRÍCOLA MUNICIPAL - FASE FINAL".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número tres (3) del </w:t>
      </w:r>
      <w:r>
        <w:rPr>
          <w:rFonts w:eastAsia="Arial" w:cs="Arial" w:ascii="IBM Plex Sans" w:hAnsi="IBM Plex Sans"/>
          <w:b w:val="false"/>
          <w:bCs w:val="false"/>
          <w:color w:val="040404"/>
          <w:sz w:val="22"/>
          <w:szCs w:val="22"/>
          <w:u w:val="none"/>
          <w:lang w:eastAsia="es-ES"/>
        </w:rPr>
        <w:t>LOTE Nº VI: INSTALACIÓN PROTECCIÓN CONTRA INCENDIOS de la obra "MERCADO AGRÍCOLA MUNICIPAL - FASE FINAL"</w:t>
      </w:r>
      <w:r>
        <w:rPr>
          <w:rFonts w:eastAsia="Verdana" w:cs="Verdana" w:ascii="IBM Plex Sans" w:hAnsi="IBM Plex Sans"/>
          <w:color w:val="040404"/>
          <w:sz w:val="22"/>
          <w:szCs w:val="22"/>
          <w:u w:val="none"/>
        </w:rPr>
        <w:t xml:space="preserve">, con cargo a la aplicación presupuestaria 4312M/6220050, </w:t>
      </w:r>
      <w:r>
        <w:rPr>
          <w:rFonts w:eastAsia="Verdana" w:cs="Verdana" w:ascii="IBM Plex Sans" w:hAnsi="IBM Plex Sans"/>
          <w:color w:val="040404"/>
          <w:spacing w:val="-3"/>
          <w:sz w:val="22"/>
          <w:szCs w:val="22"/>
          <w:u w:val="none"/>
          <w:lang w:val="es-ES_tradnl"/>
        </w:rPr>
        <w:t xml:space="preserve"> adjudicada a la empresa IMESAPI, SA, así como, suscrita por el Ingeniero Técnico Industrial, don Yone F. Díaz Pérez, el Arquitecto, don Luis J. Castellano Bolaños y el Arquitecto Técnico, don Francisco S. Estévez Rivero,  facultativos de este Ayuntamiento que comprenden la Dirección de dicha obra, por importe de 17.043,10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13. SECRETARIA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2020/00001706R. ESTIMAR DESFAVORABLE LA DEVOLUCIÓN DE FIANZA DEL LOTE 1. PLANIFICACIÓN, PROGRAMACIÓN, ORGANIZACIÓN, DESARROLLO, CIERRE Y EVALUACIÓN DEL CONTRATO "FESTIVAL DEL SUR: ENCUENTRO TEATRAL 3 CONTINENTES".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en base al informe técnico, que estima DESFAVORABLE la devolución de fianza depositada por la empresa UNAHORAMENOS PRODUCCIONES, SL, con CIF: ****9863*, en concepto de garantía definitiva al LOTE 1. Planificación, programación, organización, desarrollo, cierre y evaluación del Festival del Sur del contrato </w:t>
      </w:r>
      <w:r>
        <w:rPr>
          <w:rFonts w:eastAsia="Arial" w:cs="Verdana" w:ascii="IBM Plex Sans" w:hAnsi="IBM Plex Sans"/>
          <w:b w:val="false"/>
          <w:bCs w:val="false"/>
          <w:color w:val="040404"/>
          <w:sz w:val="22"/>
          <w:szCs w:val="22"/>
          <w:u w:val="none"/>
          <w:lang w:eastAsia="es-ES"/>
        </w:rPr>
        <w:t>“FESTIVAL DEL SUR: ENCUENTRO TEATRAL 3 CONTINENTES”</w:t>
      </w:r>
      <w:r>
        <w:rPr>
          <w:rFonts w:eastAsia="Verdana" w:cs="Verdana" w:ascii="IBM Plex Sans" w:hAnsi="IBM Plex Sans"/>
          <w:b w:val="false"/>
          <w:bCs w:val="false"/>
          <w:color w:val="040404"/>
          <w:sz w:val="22"/>
          <w:szCs w:val="22"/>
          <w:u w:val="none"/>
        </w:rPr>
        <w:t xml:space="preserve">, </w:t>
      </w:r>
      <w:r>
        <w:rPr>
          <w:rFonts w:eastAsia="Verdana" w:cs="Verdana" w:ascii="IBM Plex Sans" w:hAnsi="IBM Plex Sans"/>
          <w:b/>
          <w:color w:val="040404"/>
          <w:sz w:val="22"/>
          <w:szCs w:val="22"/>
          <w:u w:val="none"/>
        </w:rPr>
        <w:t xml:space="preserve">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14. SECRETARIA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NÚMERO: 2020/00005757G. RELATIVO A LA CONTINUIDAD DEL CONTRATO DEL "SERVICIO DE LIMPIEZA DE EDIFICIOS PÚBLICOS". </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relativo a la continuidad del contrato de "SERVICIO DE LIMPIEZA DE EDIFICIOS PÚBLICOS", por parte de la empresa contratista, Servicios Auxiliares en Mantenimientos y Limpieza (SAMYL), SL, hasta tanto se adjudique la nueva licitación o como plazo máximo tres meses,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15. SECRETARIA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2020/00006146W. PRÓRROGA DEL CONTRATO DE "SUMINISTRO DE PRODUCTOS QUÍMICOS PARA EL MANTENIMIENTO DE PISCINAS MUNICIPALES".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aprobación al contenido de la precedente propuesta y en base a ello la prórroga del contrato del “SUMINISTRO PRODUCTOS QUIMICOS PARA EL MANTENIMIENTO DE PISCINAS MUNICIPALES”,</w:t>
      </w:r>
      <w:r>
        <w:rPr>
          <w:rFonts w:eastAsia="Verdana" w:cs="Verdana" w:ascii="IBM Plex Sans" w:hAnsi="IBM Plex Sans"/>
          <w:color w:val="040404"/>
          <w:sz w:val="22"/>
          <w:szCs w:val="22"/>
          <w:u w:val="none"/>
        </w:rPr>
        <w:t xml:space="preserve">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16. SECRETARIA GENERAL.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2020/00005346F. RELATIVO A LA CONTINUIDAD DEL CONTRATO DEL "SERVICIO DE MANTENIMIENTO Y CONSERVACIÓN DE LOS EQUIPOS DE LAS INSTALACIONES DE CLIMATIZACIÓN Y SIMILARES DE LAS PISCINAS MUNICIPALES".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w:t>
      </w:r>
      <w:r>
        <w:rPr>
          <w:rFonts w:eastAsia="Verdana" w:cs="Verdana" w:ascii="IBM Plex Sans" w:hAnsi="IBM Plex Sans"/>
          <w:b w:val="false"/>
          <w:bCs w:val="false"/>
          <w:color w:val="040404"/>
          <w:sz w:val="22"/>
          <w:szCs w:val="22"/>
          <w:u w:val="none"/>
        </w:rPr>
        <w:t xml:space="preserve">aprobación al contenido de la precedente propuesta relativo a la continuidad del contrato de "SERVICIO DE MANTENIMIENTO Y CONSERVACIÓN DE LOS EQUIPOS DE LAS INSTALACIONES DE CLIMATIZACIÓN Y SIMILARES DE LAS PISCINAS MUNICIPALES", por parte de la empresa contratista, </w:t>
      </w:r>
      <w:r>
        <w:rPr>
          <w:rFonts w:eastAsia="Arial" w:cs="Verdana" w:ascii="IBM Plex Sans" w:hAnsi="IBM Plex Sans"/>
          <w:b w:val="false"/>
          <w:bCs w:val="false"/>
          <w:color w:val="040404"/>
          <w:sz w:val="22"/>
          <w:szCs w:val="22"/>
          <w:u w:val="none"/>
        </w:rPr>
        <w:t>EICOH EXPLOTACIONES SLU</w:t>
      </w:r>
      <w:r>
        <w:rPr>
          <w:rFonts w:eastAsia="Verdana" w:cs="Verdana" w:ascii="IBM Plex Sans" w:hAnsi="IBM Plex Sans"/>
          <w:b w:val="false"/>
          <w:bCs w:val="false"/>
          <w:color w:val="040404"/>
          <w:sz w:val="22"/>
          <w:szCs w:val="22"/>
          <w:u w:val="none"/>
        </w:rPr>
        <w:t xml:space="preserve">, hasta tanto se adjudique la nueva licitación o como plazo máximo tres meses, </w:t>
      </w:r>
      <w:r>
        <w:rPr>
          <w:rFonts w:eastAsia="Verdana" w:cs="Verdana" w:ascii="IBM Plex Sans" w:hAnsi="IBM Plex Sans"/>
          <w:color w:val="040404"/>
          <w:sz w:val="22"/>
          <w:szCs w:val="22"/>
          <w:u w:val="none"/>
        </w:rPr>
        <w:t>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 xml:space="preserve">17. OFICINA TÉCNICA - OBRAS MUNICIPALES. </w:t>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NÚMERO: 2018/00001111Z. CERTIFICACIÓN FINAL DEL LOTE Nº II: ALBAÑILERÍA Y OTROS DE LA OBRA "MERCADO AGRÍCOLA MUNICIPAL - FASE FINAL".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Una vez suscrita el Acta de Recepción de la obra de referencia con fecha 12 de junio de 2020, esta Junta de Gobierno Local, actuando por delegación de Alcaldía de conformidad con el decreto 2019/1563, de fecha 20 de junio, acuerda por unanimidad aprobar la siguiente:</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C</w:t>
      </w:r>
      <w:r>
        <w:rPr>
          <w:rFonts w:eastAsia="Verdana" w:cs="Verdana" w:ascii="IBM Plex Sans" w:hAnsi="IBM Plex Sans"/>
          <w:color w:val="040404"/>
          <w:spacing w:val="-3"/>
          <w:sz w:val="22"/>
          <w:szCs w:val="22"/>
          <w:u w:val="none"/>
          <w:lang w:val="es-ES_tradnl"/>
        </w:rPr>
        <w:t>ertificación</w:t>
      </w:r>
      <w:r>
        <w:rPr>
          <w:rFonts w:eastAsia="Verdana" w:cs="Verdana" w:ascii="IBM Plex Sans" w:hAnsi="IBM Plex Sans"/>
          <w:color w:val="040404"/>
          <w:sz w:val="22"/>
          <w:szCs w:val="22"/>
          <w:u w:val="none"/>
        </w:rPr>
        <w:t xml:space="preserve"> FINAL de la del </w:t>
      </w:r>
      <w:r>
        <w:rPr>
          <w:rFonts w:eastAsia="Arial" w:cs="Arial" w:ascii="IBM Plex Sans" w:hAnsi="IBM Plex Sans"/>
          <w:b w:val="false"/>
          <w:bCs w:val="false"/>
          <w:color w:val="040404"/>
          <w:sz w:val="22"/>
          <w:szCs w:val="22"/>
          <w:u w:val="none"/>
          <w:lang w:eastAsia="es-ES"/>
        </w:rPr>
        <w:t>LOTE Nº II: ALBAÑILERÍA Y OTROS de la obra "MERCADO AGRÍCOLA MUNICIPAL - FASE FINAL"</w:t>
      </w:r>
      <w:r>
        <w:rPr>
          <w:rFonts w:eastAsia="Verdana" w:cs="Verdana" w:ascii="IBM Plex Sans" w:hAnsi="IBM Plex Sans"/>
          <w:b w:val="false"/>
          <w:bCs w:val="false"/>
          <w:color w:val="040404"/>
          <w:sz w:val="22"/>
          <w:szCs w:val="22"/>
          <w:u w:val="none"/>
        </w:rPr>
        <w:t>,</w:t>
      </w:r>
      <w:r>
        <w:rPr>
          <w:rFonts w:eastAsia="Verdana" w:cs="Verdana" w:ascii="IBM Plex Sans" w:hAnsi="IBM Plex Sans"/>
          <w:color w:val="040404"/>
          <w:sz w:val="22"/>
          <w:szCs w:val="22"/>
          <w:u w:val="none"/>
        </w:rPr>
        <w:t xml:space="preserve"> con cargo a la aplicación presupuestaria </w:t>
      </w:r>
      <w:r>
        <w:rPr>
          <w:rFonts w:eastAsia="TimesNewRomanPS-BoldMT" w:cs="Verdana" w:ascii="IBM Plex Sans" w:hAnsi="IBM Plex Sans"/>
          <w:bCs/>
          <w:color w:val="040404"/>
          <w:sz w:val="22"/>
          <w:szCs w:val="22"/>
          <w:u w:val="none"/>
          <w:lang w:eastAsia="es-ES"/>
        </w:rPr>
        <w:t>4312M/6220050</w:t>
      </w:r>
      <w:r>
        <w:rPr>
          <w:rFonts w:eastAsia="Verdana" w:cs="Verdana" w:ascii="IBM Plex Sans" w:hAnsi="IBM Plex Sans"/>
          <w:color w:val="040404"/>
          <w:sz w:val="22"/>
          <w:szCs w:val="22"/>
          <w:u w:val="none"/>
        </w:rPr>
        <w:t xml:space="preserve">, </w:t>
      </w:r>
      <w:r>
        <w:rPr>
          <w:rFonts w:eastAsia="Verdana" w:cs="Verdana" w:ascii="IBM Plex Sans" w:hAnsi="IBM Plex Sans"/>
          <w:color w:val="040404"/>
          <w:spacing w:val="-3"/>
          <w:sz w:val="22"/>
          <w:szCs w:val="22"/>
          <w:u w:val="none"/>
          <w:lang w:val="es-ES_tradnl"/>
        </w:rPr>
        <w:t xml:space="preserve"> adjudicada a la empresa </w:t>
      </w:r>
      <w:r>
        <w:rPr>
          <w:rFonts w:eastAsia="TimesNewRomanPS-BoldMT" w:cs="Verdana" w:ascii="IBM Plex Sans" w:hAnsi="IBM Plex Sans"/>
          <w:bCs/>
          <w:color w:val="040404"/>
          <w:sz w:val="22"/>
          <w:szCs w:val="22"/>
          <w:u w:val="none"/>
          <w:lang w:eastAsia="es-ES"/>
        </w:rPr>
        <w:t>MULTISERVICIOS VERDE SUÁREZ, SL</w:t>
      </w:r>
      <w:r>
        <w:rPr>
          <w:rFonts w:eastAsia="Verdana" w:cs="Verdana" w:ascii="IBM Plex Sans" w:hAnsi="IBM Plex Sans"/>
          <w:color w:val="040404"/>
          <w:spacing w:val="-3"/>
          <w:sz w:val="22"/>
          <w:szCs w:val="22"/>
          <w:u w:val="none"/>
          <w:lang w:val="es-ES_tradnl"/>
        </w:rPr>
        <w:t xml:space="preserve">, así como, suscrita por el Ingeniero Técnico Industrial, don Yone F. Díaz Pérez, facultativo de este Ayuntamiento que comprende la Dirección de dicha obra, por importe de </w:t>
      </w:r>
      <w:r>
        <w:rPr>
          <w:rFonts w:eastAsia="TimesNewRomanPS-BoldMT" w:cs="Verdana" w:ascii="IBM Plex Sans" w:hAnsi="IBM Plex Sans"/>
          <w:bCs/>
          <w:color w:val="040404"/>
          <w:sz w:val="22"/>
          <w:szCs w:val="22"/>
          <w:u w:val="none"/>
          <w:lang w:eastAsia="es-ES"/>
        </w:rPr>
        <w:t>154.602,66</w:t>
      </w:r>
      <w:r>
        <w:rPr>
          <w:rFonts w:eastAsia="TimesNewRomanPS-BoldMT" w:cs="TimesNewRomanPS-BoldMT" w:ascii="IBM Plex Sans" w:hAnsi="IBM Plex Sans"/>
          <w:b/>
          <w:bCs/>
          <w:color w:val="040404"/>
          <w:sz w:val="22"/>
          <w:szCs w:val="22"/>
          <w:u w:val="none"/>
          <w:lang w:eastAsia="es-ES"/>
        </w:rPr>
        <w:t xml:space="preserve"> </w:t>
      </w:r>
      <w:r>
        <w:rPr>
          <w:rFonts w:eastAsia="Verdana" w:cs="Verdana" w:ascii="IBM Plex Sans" w:hAnsi="IBM Plex Sans"/>
          <w:color w:val="040404"/>
          <w:spacing w:val="-3"/>
          <w:sz w:val="22"/>
          <w:szCs w:val="22"/>
          <w:u w:val="none"/>
          <w:lang w:val="es-ES_tradnl"/>
        </w:rPr>
        <w:t>euros.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
          <wp:simplePos x="0" y="0"/>
          <wp:positionH relativeFrom="column">
            <wp:posOffset>-1078230</wp:posOffset>
          </wp:positionH>
          <wp:positionV relativeFrom="paragraph">
            <wp:posOffset>-440690</wp:posOffset>
          </wp:positionV>
          <wp:extent cx="7539355" cy="1067054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8" t="-27" r="-38" b="-27"/>
                  <a:stretch>
                    <a:fillRect/>
                  </a:stretch>
                </pic:blipFill>
                <pic:spPr bwMode="auto">
                  <a:xfrm>
                    <a:off x="0" y="0"/>
                    <a:ext cx="7539355" cy="106705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Sangra3detindependienteCar">
    <w:name w:val="Sangría 3 de t. independiente Car"/>
    <w:qFormat/>
    <w:rPr>
      <w:sz w:val="16"/>
    </w:rPr>
  </w:style>
  <w:style w:type="character" w:styleId="EncabezadoCarCar">
    <w:name w:val="encabezado Car Car"/>
    <w:qFormat/>
    <w:rPr>
      <w:lang w:val="es-ES"/>
    </w:rPr>
  </w:style>
  <w:style w:type="character" w:styleId="TtuloCar1">
    <w:name w:val="Título Car1"/>
    <w:qFormat/>
    <w:rPr>
      <w:rFonts w:ascii="Times New Roman" w:hAnsi="Times New Roman" w:eastAsia="Times New Roman"/>
      <w:b/>
      <w:spacing w:val="-3"/>
      <w:u w:val="single"/>
      <w:lang w:val="es-ES_tradnl"/>
    </w:rPr>
  </w:style>
  <w:style w:type="character" w:styleId="Textoindependiente3Car">
    <w:name w:val="Texto independiente 3 Car"/>
    <w:qFormat/>
    <w:rPr>
      <w:rFonts w:ascii="Times New Roman" w:hAnsi="Times New Roman" w:eastAsia="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b/>
      <w:bCs/>
    </w:rPr>
  </w:style>
  <w:style w:type="character" w:styleId="TextocomentarioCar">
    <w:name w:val="Texto comentario Car"/>
    <w:qFormat/>
    <w:rPr>
      <w:rFonts w:ascii="Times New Roman" w:hAnsi="Times New Roman" w:eastAsia="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lang w:val="en-US" w:eastAsia="en-US"/>
    </w:rPr>
  </w:style>
  <w:style w:type="character" w:styleId="HTMLconformatoprevioCar1">
    <w:name w:val="HTML con formato previo Car1"/>
    <w:qFormat/>
    <w:rPr>
      <w:rFonts w:ascii="Courier New" w:hAnsi="Courier New" w:eastAsia="Courier New"/>
      <w:lang w:val="en-US" w:eastAsia="en-US"/>
    </w:rPr>
  </w:style>
  <w:style w:type="character" w:styleId="TextodegloboCar1">
    <w:name w:val="Texto de globo Car1"/>
    <w:qFormat/>
    <w:rPr>
      <w:rFonts w:ascii="Tahoma" w:hAnsi="Tahoma" w:eastAsia="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sz w:val="24"/>
      <w:szCs w:val="24"/>
    </w:rPr>
  </w:style>
  <w:style w:type="character" w:styleId="TtuloCar">
    <w:name w:val="Título Car"/>
    <w:qFormat/>
    <w:rPr>
      <w:rFonts w:ascii="Cambria" w:hAnsi="Cambria" w:eastAsia="Cambria"/>
      <w:b/>
      <w:bCs/>
      <w:kern w:val="2"/>
      <w:sz w:val="32"/>
      <w:szCs w:val="32"/>
    </w:rPr>
  </w:style>
  <w:style w:type="character" w:styleId="HTMLconformatoprevioCar">
    <w:name w:val="HTML con formato previo Car"/>
    <w:qFormat/>
    <w:rPr>
      <w:rFonts w:ascii="Courier New" w:hAnsi="Courier New" w:eastAsia="Courier New"/>
    </w:rPr>
  </w:style>
  <w:style w:type="character" w:styleId="TextodegloboCar">
    <w:name w:val="Texto de globo Car"/>
    <w:qFormat/>
    <w:rPr>
      <w:rFonts w:ascii="Tahoma" w:hAnsi="Tahoma" w:eastAsia="Tahoma"/>
      <w:sz w:val="16"/>
      <w:szCs w:val="16"/>
    </w:rPr>
  </w:style>
  <w:style w:type="character" w:styleId="Ttulo5Car1">
    <w:name w:val="Título 5 Car1"/>
    <w:qFormat/>
    <w:rPr>
      <w:rFonts w:ascii="Cambria" w:hAnsi="Cambria" w:eastAsia="Cambria"/>
      <w:b w:val="false"/>
      <w:bCs w:val="false"/>
      <w:iCs w:val="false"/>
      <w:sz w:val="28"/>
      <w:szCs w:val="26"/>
      <w:lang w:val="es-ES" w:eastAsia="ar-SA"/>
    </w:rPr>
  </w:style>
  <w:style w:type="character" w:styleId="Ttulo4Car1">
    <w:name w:val="Título 4 Car1"/>
    <w:qFormat/>
    <w:rPr>
      <w:rFonts w:ascii="Cambria" w:hAnsi="Cambria" w:eastAsia="Cambria"/>
      <w:b w:val="false"/>
      <w:bCs w:val="false"/>
      <w:iCs w:val="false"/>
      <w:sz w:val="32"/>
      <w:szCs w:val="28"/>
      <w:lang w:val="es-ES" w:eastAsia="ar-SA"/>
    </w:rPr>
  </w:style>
  <w:style w:type="character" w:styleId="Ttulo2Car1">
    <w:name w:val="Título 2 Car1"/>
    <w:qFormat/>
    <w:rPr>
      <w:rFonts w:ascii="Tele-GroteskNor" w:hAnsi="Tele-GroteskNor" w:eastAsia="Arial"/>
      <w:b/>
      <w:bCs/>
      <w:iCs/>
      <w:color w:val="E20074"/>
      <w:kern w:val="2"/>
      <w:sz w:val="40"/>
      <w:szCs w:val="28"/>
      <w:lang w:val="es-ES" w:eastAsia="ar-SA"/>
    </w:rPr>
  </w:style>
  <w:style w:type="character" w:styleId="Ttulo1Car1">
    <w:name w:val="Título 1 Car1"/>
    <w:qFormat/>
    <w:rPr>
      <w:rFonts w:ascii="Tele-GroteskNor" w:hAnsi="Tele-GroteskNor" w:eastAsia="Arial"/>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b/>
      <w:bCs/>
      <w:sz w:val="26"/>
      <w:szCs w:val="26"/>
      <w:lang w:val="en-US" w:eastAsia="en-US"/>
    </w:rPr>
  </w:style>
  <w:style w:type="character" w:styleId="Ttulo2Car">
    <w:name w:val="Título 2 Car"/>
    <w:qFormat/>
    <w:rPr>
      <w:rFonts w:ascii="Cambria" w:hAnsi="Cambria" w:eastAsia="Cambria"/>
      <w:b/>
      <w:bCs/>
      <w:i/>
      <w:iCs/>
      <w:sz w:val="28"/>
      <w:szCs w:val="28"/>
      <w:lang w:val="en-US" w:eastAsia="en-US"/>
    </w:rPr>
  </w:style>
  <w:style w:type="character" w:styleId="SangradetextonormalCar">
    <w:name w:val="Sangría de texto normal Car"/>
    <w:qFormat/>
    <w:rPr>
      <w:sz w:val="22"/>
    </w:rPr>
  </w:style>
  <w:style w:type="character" w:styleId="Sangra2detindependienteCar">
    <w:name w:val="Sangría 2 de t. independiente Car"/>
    <w:qFormat/>
    <w:rPr>
      <w:rFonts w:ascii="Calibri" w:hAnsi="Calibri" w:eastAsia="Times New Roman"/>
    </w:rPr>
  </w:style>
  <w:style w:type="character" w:styleId="Textoindependiente2Car">
    <w:name w:val="Texto independiente 2 Car"/>
    <w:qFormat/>
    <w:rPr>
      <w:rFonts w:ascii="Times New Roman" w:hAnsi="Times New Roman" w:eastAsia="Times New Roman"/>
      <w:szCs w:val="20"/>
    </w:rPr>
  </w:style>
  <w:style w:type="character" w:styleId="WW8Num64z8">
    <w:name w:val="WW8Num64z8"/>
    <w:qFormat/>
    <w:rPr/>
  </w:style>
  <w:style w:type="character" w:styleId="WW8Num64z7">
    <w:name w:val="WW8Num64z7"/>
    <w:qFormat/>
    <w:rPr/>
  </w:style>
  <w:style w:type="character" w:styleId="WW8Num64z6">
    <w:name w:val="WW8Num64z6"/>
    <w:qFormat/>
    <w:rPr/>
  </w:style>
  <w:style w:type="character" w:styleId="WW8Num64z5">
    <w:name w:val="WW8Num64z5"/>
    <w:qFormat/>
    <w:rPr/>
  </w:style>
  <w:style w:type="character" w:styleId="WW8Num64z4">
    <w:name w:val="WW8Num64z4"/>
    <w:qFormat/>
    <w:rPr/>
  </w:style>
  <w:style w:type="character" w:styleId="WW8Num64z3">
    <w:name w:val="WW8Num64z3"/>
    <w:qFormat/>
    <w:rPr/>
  </w:style>
  <w:style w:type="character" w:styleId="WW8Num64z2">
    <w:name w:val="WW8Num64z2"/>
    <w:qFormat/>
    <w:rPr/>
  </w:style>
  <w:style w:type="character" w:styleId="WW8Num64z1">
    <w:name w:val="WW8Num64z1"/>
    <w:qFormat/>
    <w:rPr/>
  </w:style>
  <w:style w:type="character" w:styleId="WW8Num64z0">
    <w:name w:val="WW8Num64z0"/>
    <w:qFormat/>
    <w:rPr>
      <w:rFonts w:ascii="Verdana" w:hAnsi="Verdana" w:eastAsia="Arial"/>
      <w:spacing w:val="-3"/>
      <w:sz w:val="20"/>
      <w:szCs w:val="20"/>
      <w:lang w:val="es-ES"/>
    </w:rPr>
  </w:style>
  <w:style w:type="character" w:styleId="WW8Num63z8">
    <w:name w:val="WW8Num63z8"/>
    <w:qFormat/>
    <w:rPr/>
  </w:style>
  <w:style w:type="character" w:styleId="WW8Num63z7">
    <w:name w:val="WW8Num63z7"/>
    <w:qFormat/>
    <w:rPr/>
  </w:style>
  <w:style w:type="character" w:styleId="WW8Num63z6">
    <w:name w:val="WW8Num63z6"/>
    <w:qFormat/>
    <w:rPr/>
  </w:style>
  <w:style w:type="character" w:styleId="WW8Num63z5">
    <w:name w:val="WW8Num63z5"/>
    <w:qFormat/>
    <w:rPr/>
  </w:style>
  <w:style w:type="character" w:styleId="WW8Num63z4">
    <w:name w:val="WW8Num63z4"/>
    <w:qFormat/>
    <w:rPr/>
  </w:style>
  <w:style w:type="character" w:styleId="WW8Num63z3">
    <w:name w:val="WW8Num63z3"/>
    <w:qFormat/>
    <w:rPr/>
  </w:style>
  <w:style w:type="character" w:styleId="WW8Num63z2">
    <w:name w:val="WW8Num63z2"/>
    <w:qFormat/>
    <w:rPr/>
  </w:style>
  <w:style w:type="character" w:styleId="WW8Num63z1">
    <w:name w:val="WW8Num63z1"/>
    <w:qFormat/>
    <w:rPr/>
  </w:style>
  <w:style w:type="character" w:styleId="WW8Num63z0">
    <w:name w:val="WW8Num63z0"/>
    <w:qFormat/>
    <w:rPr>
      <w:rFonts w:ascii="Verdana" w:hAnsi="Verdana" w:eastAsia="Arial"/>
      <w:spacing w:val="-3"/>
      <w:sz w:val="20"/>
      <w:szCs w:val="20"/>
      <w:lang w:val="es-ES"/>
    </w:rPr>
  </w:style>
  <w:style w:type="character" w:styleId="WW8Num62z8">
    <w:name w:val="WW8Num62z8"/>
    <w:qFormat/>
    <w:rPr/>
  </w:style>
  <w:style w:type="character" w:styleId="WW8Num62z7">
    <w:name w:val="WW8Num62z7"/>
    <w:qFormat/>
    <w:rPr/>
  </w:style>
  <w:style w:type="character" w:styleId="WW8Num62z6">
    <w:name w:val="WW8Num62z6"/>
    <w:qFormat/>
    <w:rPr/>
  </w:style>
  <w:style w:type="character" w:styleId="WW8Num62z5">
    <w:name w:val="WW8Num62z5"/>
    <w:qFormat/>
    <w:rPr/>
  </w:style>
  <w:style w:type="character" w:styleId="WW8Num62z4">
    <w:name w:val="WW8Num62z4"/>
    <w:qFormat/>
    <w:rPr/>
  </w:style>
  <w:style w:type="character" w:styleId="WW8Num62z3">
    <w:name w:val="WW8Num62z3"/>
    <w:qFormat/>
    <w:rPr/>
  </w:style>
  <w:style w:type="character" w:styleId="WW8Num62z2">
    <w:name w:val="WW8Num62z2"/>
    <w:qFormat/>
    <w:rPr/>
  </w:style>
  <w:style w:type="character" w:styleId="WW8Num62z1">
    <w:name w:val="WW8Num62z1"/>
    <w:qFormat/>
    <w:rPr/>
  </w:style>
  <w:style w:type="character" w:styleId="WW8Num61z8">
    <w:name w:val="WW8Num61z8"/>
    <w:qFormat/>
    <w:rPr/>
  </w:style>
  <w:style w:type="character" w:styleId="WW8Num61z7">
    <w:name w:val="WW8Num61z7"/>
    <w:qFormat/>
    <w:rPr/>
  </w:style>
  <w:style w:type="character" w:styleId="WW8Num61z6">
    <w:name w:val="WW8Num61z6"/>
    <w:qFormat/>
    <w:rPr/>
  </w:style>
  <w:style w:type="character" w:styleId="WW8Num61z5">
    <w:name w:val="WW8Num61z5"/>
    <w:qFormat/>
    <w:rPr/>
  </w:style>
  <w:style w:type="character" w:styleId="WW8Num61z4">
    <w:name w:val="WW8Num61z4"/>
    <w:qFormat/>
    <w:rPr/>
  </w:style>
  <w:style w:type="character" w:styleId="WW8Num61z3">
    <w:name w:val="WW8Num61z3"/>
    <w:qFormat/>
    <w:rPr/>
  </w:style>
  <w:style w:type="character" w:styleId="WW8Num61z2">
    <w:name w:val="WW8Num61z2"/>
    <w:qFormat/>
    <w:rPr/>
  </w:style>
  <w:style w:type="character" w:styleId="WW8Num61z1">
    <w:name w:val="WW8Num61z1"/>
    <w:qFormat/>
    <w:rPr/>
  </w:style>
  <w:style w:type="character" w:styleId="WW8Num61z0">
    <w:name w:val="WW8Num61z0"/>
    <w:qFormat/>
    <w:rPr/>
  </w:style>
  <w:style w:type="character" w:styleId="WW8Num60z8">
    <w:name w:val="WW8Num60z8"/>
    <w:qFormat/>
    <w:rPr/>
  </w:style>
  <w:style w:type="character" w:styleId="WW8Num60z7">
    <w:name w:val="WW8Num60z7"/>
    <w:qFormat/>
    <w:rPr/>
  </w:style>
  <w:style w:type="character" w:styleId="WW8Num60z6">
    <w:name w:val="WW8Num60z6"/>
    <w:qFormat/>
    <w:rPr/>
  </w:style>
  <w:style w:type="character" w:styleId="WW8Num60z5">
    <w:name w:val="WW8Num60z5"/>
    <w:qFormat/>
    <w:rPr/>
  </w:style>
  <w:style w:type="character" w:styleId="WW8Num60z4">
    <w:name w:val="WW8Num60z4"/>
    <w:qFormat/>
    <w:rPr/>
  </w:style>
  <w:style w:type="character" w:styleId="WW8Num60z3">
    <w:name w:val="WW8Num60z3"/>
    <w:qFormat/>
    <w:rPr/>
  </w:style>
  <w:style w:type="character" w:styleId="WW8Num60z2">
    <w:name w:val="WW8Num60z2"/>
    <w:qFormat/>
    <w:rPr/>
  </w:style>
  <w:style w:type="character" w:styleId="WW8Num60z1">
    <w:name w:val="WW8Num60z1"/>
    <w:qFormat/>
    <w:rPr/>
  </w:style>
  <w:style w:type="character" w:styleId="WW8Num59z8">
    <w:name w:val="WW8Num59z8"/>
    <w:qFormat/>
    <w:rPr/>
  </w:style>
  <w:style w:type="character" w:styleId="WW8Num59z7">
    <w:name w:val="WW8Num59z7"/>
    <w:qFormat/>
    <w:rPr/>
  </w:style>
  <w:style w:type="character" w:styleId="WW8Num59z6">
    <w:name w:val="WW8Num59z6"/>
    <w:qFormat/>
    <w:rPr/>
  </w:style>
  <w:style w:type="character" w:styleId="WW8Num59z5">
    <w:name w:val="WW8Num59z5"/>
    <w:qFormat/>
    <w:rPr/>
  </w:style>
  <w:style w:type="character" w:styleId="WW8Num59z4">
    <w:name w:val="WW8Num59z4"/>
    <w:qFormat/>
    <w:rPr/>
  </w:style>
  <w:style w:type="character" w:styleId="WW8Num59z3">
    <w:name w:val="WW8Num59z3"/>
    <w:qFormat/>
    <w:rPr/>
  </w:style>
  <w:style w:type="character" w:styleId="WW8Num59z2">
    <w:name w:val="WW8Num59z2"/>
    <w:qFormat/>
    <w:rPr/>
  </w:style>
  <w:style w:type="character" w:styleId="WW8Num59z1">
    <w:name w:val="WW8Num59z1"/>
    <w:qFormat/>
    <w:rPr/>
  </w:style>
  <w:style w:type="character" w:styleId="WW8Num59z0">
    <w:name w:val="WW8Num59z0"/>
    <w:qFormat/>
    <w:rPr>
      <w:rFonts w:ascii="Verdana" w:hAnsi="Verdana" w:eastAsia="Arial"/>
      <w:spacing w:val="-3"/>
      <w:sz w:val="20"/>
      <w:szCs w:val="20"/>
      <w:lang w:val="es-ES"/>
    </w:rPr>
  </w:style>
  <w:style w:type="character" w:styleId="WW8Num58z8">
    <w:name w:val="WW8Num58z8"/>
    <w:qFormat/>
    <w:rPr/>
  </w:style>
  <w:style w:type="character" w:styleId="WW8Num58z7">
    <w:name w:val="WW8Num58z7"/>
    <w:qFormat/>
    <w:rPr/>
  </w:style>
  <w:style w:type="character" w:styleId="WW8Num58z6">
    <w:name w:val="WW8Num58z6"/>
    <w:qFormat/>
    <w:rPr/>
  </w:style>
  <w:style w:type="character" w:styleId="WW8Num58z5">
    <w:name w:val="WW8Num58z5"/>
    <w:qFormat/>
    <w:rPr/>
  </w:style>
  <w:style w:type="character" w:styleId="WW8Num58z4">
    <w:name w:val="WW8Num58z4"/>
    <w:qFormat/>
    <w:rPr/>
  </w:style>
  <w:style w:type="character" w:styleId="WW8Num58z3">
    <w:name w:val="WW8Num58z3"/>
    <w:qFormat/>
    <w:rPr/>
  </w:style>
  <w:style w:type="character" w:styleId="WW8Num58z2">
    <w:name w:val="WW8Num58z2"/>
    <w:qFormat/>
    <w:rPr/>
  </w:style>
  <w:style w:type="character" w:styleId="WW8Num58z1">
    <w:name w:val="WW8Num58z1"/>
    <w:qFormat/>
    <w:rPr/>
  </w:style>
  <w:style w:type="character" w:styleId="WW8Num58z0">
    <w:name w:val="WW8Num58z0"/>
    <w:qFormat/>
    <w:rPr>
      <w:rFonts w:ascii="Verdana" w:hAnsi="Verdana" w:eastAsia="Verdana"/>
      <w:spacing w:val="-3"/>
      <w:sz w:val="20"/>
      <w:szCs w:val="20"/>
      <w:lang w:val="es-ES"/>
    </w:rPr>
  </w:style>
  <w:style w:type="character" w:styleId="WW8Num57z1">
    <w:name w:val="WW8Num57z1"/>
    <w:qFormat/>
    <w:rPr>
      <w:rFonts w:ascii="Courier New" w:hAnsi="Courier New" w:eastAsia="Courier New"/>
    </w:rPr>
  </w:style>
  <w:style w:type="character" w:styleId="WW8Num57z0">
    <w:name w:val="WW8Num57z0"/>
    <w:qFormat/>
    <w:rPr>
      <w:rFonts w:ascii="Verdana" w:hAnsi="Verdana" w:eastAsia="Arial"/>
      <w:color w:val="000000"/>
      <w:sz w:val="20"/>
      <w:szCs w:val="20"/>
      <w:lang w:val="es-ES"/>
    </w:rPr>
  </w:style>
  <w:style w:type="character" w:styleId="WW8Num56z4">
    <w:name w:val="WW8Num56z4"/>
    <w:qFormat/>
    <w:rPr>
      <w:rFonts w:ascii="Courier New" w:hAnsi="Courier New" w:eastAsia="Courier New"/>
    </w:rPr>
  </w:style>
  <w:style w:type="character" w:styleId="WW8Num55z8">
    <w:name w:val="WW8Num55z8"/>
    <w:qFormat/>
    <w:rPr/>
  </w:style>
  <w:style w:type="character" w:styleId="WW8Num55z7">
    <w:name w:val="WW8Num55z7"/>
    <w:qFormat/>
    <w:rPr/>
  </w:style>
  <w:style w:type="character" w:styleId="WW8Num55z6">
    <w:name w:val="WW8Num55z6"/>
    <w:qFormat/>
    <w:rPr/>
  </w:style>
  <w:style w:type="character" w:styleId="WW8Num55z5">
    <w:name w:val="WW8Num55z5"/>
    <w:qFormat/>
    <w:rPr/>
  </w:style>
  <w:style w:type="character" w:styleId="WW8Num55z4">
    <w:name w:val="WW8Num55z4"/>
    <w:qFormat/>
    <w:rPr/>
  </w:style>
  <w:style w:type="character" w:styleId="WW8Num55z3">
    <w:name w:val="WW8Num55z3"/>
    <w:qFormat/>
    <w:rPr/>
  </w:style>
  <w:style w:type="character" w:styleId="WW8Num55z2">
    <w:name w:val="WW8Num55z2"/>
    <w:qFormat/>
    <w:rPr/>
  </w:style>
  <w:style w:type="character" w:styleId="WW8Num55z1">
    <w:name w:val="WW8Num55z1"/>
    <w:qFormat/>
    <w:rPr/>
  </w:style>
  <w:style w:type="character" w:styleId="WW8Num54z1">
    <w:name w:val="WW8Num54z1"/>
    <w:qFormat/>
    <w:rPr>
      <w:rFonts w:ascii="Courier New" w:hAnsi="Courier New" w:eastAsia="Courier New"/>
    </w:rPr>
  </w:style>
  <w:style w:type="character" w:styleId="WW8Num53z8">
    <w:name w:val="WW8Num53z8"/>
    <w:qFormat/>
    <w:rPr/>
  </w:style>
  <w:style w:type="character" w:styleId="WW8Num53z7">
    <w:name w:val="WW8Num53z7"/>
    <w:qFormat/>
    <w:rPr/>
  </w:style>
  <w:style w:type="character" w:styleId="WW8Num53z6">
    <w:name w:val="WW8Num53z6"/>
    <w:qFormat/>
    <w:rPr/>
  </w:style>
  <w:style w:type="character" w:styleId="WW8Num53z5">
    <w:name w:val="WW8Num53z5"/>
    <w:qFormat/>
    <w:rPr/>
  </w:style>
  <w:style w:type="character" w:styleId="WW8Num53z4">
    <w:name w:val="WW8Num53z4"/>
    <w:qFormat/>
    <w:rPr/>
  </w:style>
  <w:style w:type="character" w:styleId="WW8Num53z3">
    <w:name w:val="WW8Num53z3"/>
    <w:qFormat/>
    <w:rPr/>
  </w:style>
  <w:style w:type="character" w:styleId="WW8Num53z2">
    <w:name w:val="WW8Num53z2"/>
    <w:qFormat/>
    <w:rPr/>
  </w:style>
  <w:style w:type="character" w:styleId="WW8Num53z1">
    <w:name w:val="WW8Num53z1"/>
    <w:qFormat/>
    <w:rPr/>
  </w:style>
  <w:style w:type="character" w:styleId="WW8Num53z0">
    <w:name w:val="WW8Num53z0"/>
    <w:qFormat/>
    <w:rPr>
      <w:rFonts w:ascii="Verdana" w:hAnsi="Verdana" w:eastAsia="Arial"/>
      <w:spacing w:val="-3"/>
      <w:sz w:val="20"/>
      <w:szCs w:val="20"/>
      <w:lang w:val="es-ES"/>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tyle>
  <w:style w:type="character" w:styleId="WW8Num51z8">
    <w:name w:val="WW8Num51z8"/>
    <w:qFormat/>
    <w:rPr/>
  </w:style>
  <w:style w:type="character" w:styleId="WW8Num51z7">
    <w:name w:val="WW8Num51z7"/>
    <w:qFormat/>
    <w:rPr/>
  </w:style>
  <w:style w:type="character" w:styleId="WW8Num51z6">
    <w:name w:val="WW8Num51z6"/>
    <w:qFormat/>
    <w:rPr/>
  </w:style>
  <w:style w:type="character" w:styleId="WW8Num51z5">
    <w:name w:val="WW8Num51z5"/>
    <w:qFormat/>
    <w:rPr/>
  </w:style>
  <w:style w:type="character" w:styleId="WW8Num51z4">
    <w:name w:val="WW8Num51z4"/>
    <w:qFormat/>
    <w:rPr/>
  </w:style>
  <w:style w:type="character" w:styleId="WW8Num51z3">
    <w:name w:val="WW8Num51z3"/>
    <w:qFormat/>
    <w:rPr/>
  </w:style>
  <w:style w:type="character" w:styleId="WW8Num51z2">
    <w:name w:val="WW8Num51z2"/>
    <w:qFormat/>
    <w:rPr/>
  </w:style>
  <w:style w:type="character" w:styleId="WW8Num51z1">
    <w:name w:val="WW8Num51z1"/>
    <w:qFormat/>
    <w:rPr/>
  </w:style>
  <w:style w:type="character" w:styleId="WW8Num51z0">
    <w:name w:val="WW8Num51z0"/>
    <w:qFormat/>
    <w:rPr>
      <w:rFonts w:ascii="Verdana" w:hAnsi="Verdana" w:eastAsia="Arial"/>
      <w:spacing w:val="-3"/>
      <w:sz w:val="20"/>
      <w:szCs w:val="20"/>
      <w:lang w:val="es-ES"/>
    </w:rPr>
  </w:style>
  <w:style w:type="character" w:styleId="WW8Num50z1">
    <w:name w:val="WW8Num50z1"/>
    <w:qFormat/>
    <w:rPr>
      <w:rFonts w:ascii="Courier New" w:hAnsi="Courier New" w:eastAsia="Courier New"/>
    </w:rPr>
  </w:style>
  <w:style w:type="character" w:styleId="WW8Num49z8">
    <w:name w:val="WW8Num49z8"/>
    <w:qFormat/>
    <w:rPr/>
  </w:style>
  <w:style w:type="character" w:styleId="WW8Num49z7">
    <w:name w:val="WW8Num49z7"/>
    <w:qFormat/>
    <w:rPr/>
  </w:style>
  <w:style w:type="character" w:styleId="WW8Num49z6">
    <w:name w:val="WW8Num49z6"/>
    <w:qFormat/>
    <w:rPr/>
  </w:style>
  <w:style w:type="character" w:styleId="WW8Num49z5">
    <w:name w:val="WW8Num49z5"/>
    <w:qFormat/>
    <w:rPr/>
  </w:style>
  <w:style w:type="character" w:styleId="WW8Num49z4">
    <w:name w:val="WW8Num49z4"/>
    <w:qFormat/>
    <w:rPr/>
  </w:style>
  <w:style w:type="character" w:styleId="WW8Num49z3">
    <w:name w:val="WW8Num49z3"/>
    <w:qFormat/>
    <w:rPr/>
  </w:style>
  <w:style w:type="character" w:styleId="WW8Num49z2">
    <w:name w:val="WW8Num49z2"/>
    <w:qFormat/>
    <w:rPr/>
  </w:style>
  <w:style w:type="character" w:styleId="WW8Num49z1">
    <w:name w:val="WW8Num49z1"/>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48z1">
    <w:name w:val="WW8Num48z1"/>
    <w:qFormat/>
    <w:rPr/>
  </w:style>
  <w:style w:type="character" w:styleId="WW8Num48z0">
    <w:name w:val="WW8Num48z0"/>
    <w:qFormat/>
    <w:rPr>
      <w:rFonts w:ascii="Verdana" w:hAnsi="Verdana" w:eastAsia="Arial"/>
      <w:spacing w:val="-3"/>
      <w:sz w:val="20"/>
      <w:szCs w:val="20"/>
      <w:lang w:val="es-ES"/>
    </w:rPr>
  </w:style>
  <w:style w:type="character" w:styleId="WW8Num47z4">
    <w:name w:val="WW8Num47z4"/>
    <w:qFormat/>
    <w:rPr>
      <w:rFonts w:ascii="Courier New" w:hAnsi="Courier New" w:eastAsia="Courier New"/>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5z2">
    <w:name w:val="WW8Num45z2"/>
    <w:qFormat/>
    <w:rPr/>
  </w:style>
  <w:style w:type="character" w:styleId="WW8Num45z1">
    <w:name w:val="WW8Num45z1"/>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4z1">
    <w:name w:val="WW8Num44z1"/>
    <w:qFormat/>
    <w:rPr/>
  </w:style>
  <w:style w:type="character" w:styleId="WW8Num44z0">
    <w:name w:val="WW8Num44z0"/>
    <w:qFormat/>
    <w:rPr>
      <w:rFonts w:ascii="Verdana" w:hAnsi="Verdana" w:eastAsia="Arial"/>
      <w:spacing w:val="-3"/>
      <w:sz w:val="20"/>
      <w:szCs w:val="20"/>
      <w:lang w:val="es-ES"/>
    </w:rPr>
  </w:style>
  <w:style w:type="character" w:styleId="WW8Num43z1">
    <w:name w:val="WW8Num43z1"/>
    <w:qFormat/>
    <w:rPr>
      <w:rFonts w:ascii="Courier New" w:hAnsi="Courier New" w:eastAsia="Courier New"/>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2z1">
    <w:name w:val="WW8Num42z1"/>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rFonts w:ascii="Verdana" w:hAnsi="Verdana" w:eastAsia="Arial"/>
      <w:spacing w:val="-3"/>
      <w:sz w:val="20"/>
      <w:szCs w:val="20"/>
      <w:lang w:val="es-ES"/>
    </w:rPr>
  </w:style>
  <w:style w:type="character" w:styleId="WW8Num40z0">
    <w:name w:val="WW8Num40z0"/>
    <w:qFormat/>
    <w:rPr>
      <w:rFonts w:ascii="Courier New" w:hAnsi="Courier New" w:eastAsia="Courier New"/>
      <w:spacing w:val="-3"/>
      <w:sz w:val="20"/>
      <w:szCs w:val="20"/>
      <w:lang w:val="es-ES"/>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rFonts w:ascii="Verdana" w:hAnsi="Verdana" w:eastAsia="Arial"/>
      <w:spacing w:val="-4"/>
      <w:sz w:val="20"/>
      <w:szCs w:val="20"/>
      <w:lang w:val="es-ES"/>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rFonts w:ascii="Verdana" w:hAnsi="Verdana" w:eastAsia="Arial"/>
      <w:spacing w:val="-3"/>
      <w:sz w:val="20"/>
      <w:szCs w:val="20"/>
      <w:lang w:val="es-ES"/>
    </w:rPr>
  </w:style>
  <w:style w:type="character" w:styleId="WW8Num36z1">
    <w:name w:val="WW8Num36z1"/>
    <w:qFormat/>
    <w:rPr>
      <w:rFonts w:ascii="Courier New" w:hAnsi="Courier New" w:eastAsia="Courier New"/>
    </w:rPr>
  </w:style>
  <w:style w:type="character" w:styleId="WW8Num35z1">
    <w:name w:val="WW8Num35z1"/>
    <w:qFormat/>
    <w:rPr>
      <w:rFonts w:ascii="Courier New" w:hAnsi="Courier New" w:eastAsia="Courier New"/>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rFonts w:ascii="Verdana" w:hAnsi="Verdana" w:eastAsia="Arial"/>
      <w:spacing w:val="-3"/>
      <w:sz w:val="20"/>
      <w:szCs w:val="20"/>
      <w:lang w:val="es-ES"/>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2z4">
    <w:name w:val="WW8Num32z4"/>
    <w:qFormat/>
    <w:rPr>
      <w:rFonts w:ascii="Courier New" w:hAnsi="Courier New" w:eastAsia="Courier New"/>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rFonts w:ascii="Verdana" w:hAnsi="Verdana" w:eastAsia="Verdana"/>
      <w:spacing w:val="-3"/>
      <w:sz w:val="20"/>
      <w:szCs w:val="20"/>
      <w:lang w:val="es-ES"/>
    </w:rPr>
  </w:style>
  <w:style w:type="character" w:styleId="WW8Num30z1">
    <w:name w:val="WW8Num30z1"/>
    <w:qFormat/>
    <w:rPr>
      <w:rFonts w:ascii="Courier New" w:hAnsi="Courier New" w:eastAsia="Courier New"/>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Verdana"/>
      <w:spacing w:val="-3"/>
      <w:sz w:val="20"/>
      <w:szCs w:val="20"/>
      <w:lang w:val="es-ES"/>
    </w:rPr>
  </w:style>
  <w:style w:type="character" w:styleId="WW8Num28z1">
    <w:name w:val="WW8Num28z1"/>
    <w:qFormat/>
    <w:rPr>
      <w:rFonts w:ascii="Courier New" w:hAnsi="Courier New" w:eastAsia="Courier New"/>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5z1">
    <w:name w:val="WW8Num25z1"/>
    <w:qFormat/>
    <w:rPr>
      <w:rFonts w:ascii="Courier New" w:hAnsi="Courier New" w:eastAsia="Courier New"/>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rFonts w:ascii="Verdana" w:hAnsi="Verdana" w:eastAsia="Arial"/>
      <w:spacing w:val="-3"/>
      <w:sz w:val="20"/>
      <w:szCs w:val="20"/>
      <w:lang w:val="es-ES"/>
    </w:rPr>
  </w:style>
  <w:style w:type="character" w:styleId="WW8Num23z1">
    <w:name w:val="WW8Num23z1"/>
    <w:qFormat/>
    <w:rPr>
      <w:rFonts w:ascii="Courier New" w:hAnsi="Courier New" w:eastAsia="Courier New"/>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rFonts w:ascii="Verdana" w:hAnsi="Verdana" w:eastAsia="Verdana"/>
      <w:spacing w:val="-3"/>
      <w:sz w:val="20"/>
      <w:szCs w:val="20"/>
      <w:lang w:val="es-ES"/>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rFonts w:ascii="Verdana" w:hAnsi="Verdana" w:eastAsia="Arial"/>
      <w:i/>
      <w:iCs/>
      <w:spacing w:val="-4"/>
      <w:sz w:val="20"/>
      <w:szCs w:val="20"/>
      <w:lang w:val="es-ES"/>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ascii="Verdana" w:hAnsi="Verdana" w:eastAsia="Verdana"/>
      <w:spacing w:val="-3"/>
      <w:sz w:val="20"/>
      <w:szCs w:val="20"/>
      <w:lang w:val="es-ES"/>
    </w:rPr>
  </w:style>
  <w:style w:type="character" w:styleId="WW8Num18z0">
    <w:name w:val="WW8Num18z0"/>
    <w:qFormat/>
    <w:rPr>
      <w:b/>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0">
    <w:name w:val="WW8Num11z0"/>
    <w:qFormat/>
    <w:rPr>
      <w:rFonts w:ascii="Verdana" w:hAnsi="Verdana" w:eastAsia="Arial"/>
      <w:spacing w:val="-4"/>
      <w:sz w:val="20"/>
      <w:szCs w:val="20"/>
      <w:lang w:val="es-ES"/>
    </w:rPr>
  </w:style>
  <w:style w:type="character" w:styleId="WW8Num6z0">
    <w:name w:val="WW8Num6z0"/>
    <w:qFormat/>
    <w:rPr>
      <w:rFonts w:ascii="Verdana" w:hAnsi="Verdana" w:eastAsia="Arial"/>
      <w:spacing w:val="-4"/>
      <w:sz w:val="20"/>
      <w:szCs w:val="20"/>
      <w:lang w:val="es-ES"/>
    </w:rPr>
  </w:style>
  <w:style w:type="character" w:styleId="WW8Num5z0">
    <w:name w:val="WW8Num5z0"/>
    <w:qFormat/>
    <w:rPr>
      <w:rFonts w:ascii="Verdana" w:hAnsi="Verdana" w:eastAsia="Arial"/>
      <w:spacing w:val="-3"/>
      <w:sz w:val="20"/>
      <w:szCs w:val="20"/>
      <w:lang w:val="es-ES"/>
    </w:rPr>
  </w:style>
  <w:style w:type="character" w:styleId="WW8Num4z0">
    <w:name w:val="WW8Num4z0"/>
    <w:qFormat/>
    <w:rPr>
      <w:rFonts w:ascii="Verdana" w:hAnsi="Verdana" w:eastAsia="Arial"/>
      <w:b/>
      <w:bCs/>
      <w:spacing w:val="-3"/>
      <w:sz w:val="20"/>
      <w:szCs w:val="20"/>
      <w:lang w:val="es-ES"/>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Western">
    <w:name w:val="western"/>
    <w:basedOn w:val="Normal"/>
    <w:qFormat/>
    <w:pPr>
      <w:spacing w:lineRule="exact" w:line="240" w:before="280" w:after="0"/>
      <w:jc w:val="both"/>
    </w:pPr>
    <w:rPr>
      <w:rFonts w:ascii="Times New Roman" w:hAnsi="Times New Roman" w:eastAsia="Times New Roman"/>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
      <w:color w:val="000000"/>
      <w:kern w:val="2"/>
      <w:sz w:val="24"/>
      <w:szCs w:val="24"/>
      <w:lang w:val="es-ES" w:eastAsia="zh-CN" w:bidi="hi-IN"/>
    </w:rPr>
  </w:style>
  <w:style w:type="paragraph" w:styleId="Asuntodelcomentario">
    <w:name w:val="Asunto del comentario"/>
    <w:qFormat/>
    <w:pPr>
      <w:widowControl w:val="false"/>
      <w:kinsoku w:val="true"/>
      <w:overflowPunct w:val="true"/>
      <w:autoSpaceDE w:val="true"/>
      <w:bidi w:val="0"/>
      <w:spacing w:lineRule="exact" w:line="240" w:before="0" w:after="0"/>
    </w:pPr>
    <w:rPr>
      <w:rFonts w:ascii="Times New Roman" w:hAnsi="Times New Roman" w:eastAsia="Times New Roman" w:cs="Arial"/>
      <w:b/>
      <w:bCs/>
      <w:color w:val="auto"/>
      <w:sz w:val="20"/>
      <w:szCs w:val="20"/>
      <w:lang w:eastAsia="ar-SA" w:val="es-ES" w:bidi="hi-IN"/>
    </w:rPr>
  </w:style>
  <w:style w:type="paragraph" w:styleId="Textocomentario">
    <w:name w:val="Texto comentario"/>
    <w:basedOn w:val="Normal"/>
    <w:qFormat/>
    <w:pPr>
      <w:spacing w:lineRule="exact" w:line="240" w:before="0" w:after="0"/>
    </w:pPr>
    <w:rPr>
      <w:rFonts w:ascii="Times New Roman" w:hAnsi="Times New Roman" w:eastAsia="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
      <w:color w:val="auto"/>
      <w:kern w:val="2"/>
      <w:sz w:val="24"/>
      <w:szCs w:val="24"/>
      <w:lang w:val="es-ES" w:eastAsia="zh-CN" w:bidi="hi-IN"/>
    </w:rPr>
  </w:style>
  <w:style w:type="paragraph" w:styleId="Encabezado0">
    <w:name w:val="Encabezado_0"/>
    <w:qFormat/>
    <w:pPr>
      <w:widowControl w:val="fals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eastAsia="ar-SA" w:val="es-ES" w:bidi="hi-IN"/>
    </w:rPr>
  </w:style>
  <w:style w:type="paragraph" w:styleId="TtulodeTDC">
    <w:name w:val="Título de TDC"/>
    <w:basedOn w:val="Ttulo1"/>
    <w:qFormat/>
    <w:pPr>
      <w:keepNext w:val="true"/>
      <w:numPr>
        <w:ilvl w:val="0"/>
        <w:numId w:val="0"/>
      </w:numPr>
      <w:spacing w:lineRule="exact" w:line="240" w:before="240" w:after="60"/>
    </w:pPr>
    <w:rPr>
      <w:rFonts w:ascii="Cambria" w:hAnsi="Cambria" w:eastAsia="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b/>
      <w:bCs/>
      <w:sz w:val="32"/>
      <w:szCs w:val="32"/>
      <w:lang w:val="en-US" w:eastAsia="en-U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30</TotalTime>
  <Application>LibreOffice/6.4.3.2$Windows_X86_64 LibreOffice_project/747b5d0ebf89f41c860ec2a39efd7cb15b54f2d8</Application>
  <Pages>6</Pages>
  <Words>2379</Words>
  <CharactersWithSpaces>15483</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2021-03-10T18:13:07Z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