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Roboto Slab" w:hAnsi="Roboto Slab"/>
          <w:color w:val="000080"/>
          <w:sz w:val="36"/>
          <w:szCs w:val="36"/>
          <w:u w:val="none"/>
        </w:rPr>
      </w:pPr>
      <w:r>
        <w:rPr>
          <w:rFonts w:eastAsia="Verdana" w:cs="Verdana" w:ascii="Roboto Slab" w:hAnsi="Roboto Slab"/>
          <w:b/>
          <w:color w:val="000080"/>
          <w:sz w:val="36"/>
          <w:szCs w:val="36"/>
          <w:u w:val="none"/>
          <w:lang w:eastAsia="ar-SA"/>
        </w:rPr>
        <w:t>ACUERDOS</w:t>
      </w:r>
      <w:r>
        <w:rPr>
          <w:rFonts w:eastAsia="Verdana" w:cs="Verdana" w:ascii="Roboto Slab" w:hAnsi="Roboto Slab"/>
          <w:b/>
          <w:color w:val="000080"/>
          <w:sz w:val="36"/>
          <w:szCs w:val="36"/>
          <w:u w:val="none"/>
        </w:rPr>
        <w:t xml:space="preserve"> JUNTA DE GOBIERNO LOCAL</w:t>
      </w:r>
    </w:p>
    <w:p>
      <w:pPr>
        <w:pStyle w:val="Normal"/>
        <w:jc w:val="left"/>
        <w:rPr>
          <w:rFonts w:ascii="Roboto Slab" w:hAnsi="Roboto Slab" w:eastAsia="Verdana" w:cs="Verdana"/>
          <w:b/>
          <w:b/>
          <w:color w:val="000080"/>
          <w:sz w:val="36"/>
          <w:szCs w:val="36"/>
          <w:u w:val="none"/>
        </w:rPr>
      </w:pPr>
      <w:r>
        <w:rPr>
          <w:rFonts w:eastAsia="Verdana" w:cs="Verdana" w:ascii="Roboto Slab" w:hAnsi="Roboto Slab"/>
          <w:b/>
          <w:color w:val="000080"/>
          <w:sz w:val="36"/>
          <w:szCs w:val="36"/>
          <w:u w:val="none"/>
        </w:rPr>
        <w:t>TRES DE AGOSTO DE DOS MIL VEINTE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ab/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1. SECRETARIA GENERAL. NÚMERO: 2020/00008607W. LECTURA Y APROBACIÓN SI PROCEDE, DEL BORRADOR DEL ACTA DE LA SESIÓN CELEBRADA EL VEINTE DE JULIO DE DOS MIL VEINTE.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Dada cuenta del borrador del Acta de la sesión celebrada el día veintisiete de julio de dos mil veinte, la misma es aprobada por unanimidad, en sus literales términos.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2. OFICINA TÉCNICA - OBRAS MUNICIPALES. 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2020/00008532L. APROBACIÓN MEMORIA VALORADA PARA LA EJECUCIÓN DE LA OBRA “SUSTITUCIÓN DE BORDILLOS EN LA ROTONDA DE LA CALLE MERO”.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Esta Junta de Gobierno Local, actuando por delegación de Alcaldía de conformidad con el decreto 2019/1563, de fecha 20 de junio, acuerda por unanimidad la aprobación de la Memoria Valorada de la obra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 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"SUSTITUCIÓN DE BORDILLOS EN LA ROTONDA DE LA CALLE MERO"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, redactado  p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or el Arquitecto Técnico de este Ayuntamiento, don don Francisco S. Estévez Rivero, con un presupuesto total de ejecución por contrata de </w:t>
      </w:r>
      <w:r>
        <w:rPr>
          <w:rFonts w:eastAsia="Verdana" w:cs="Verdana" w:ascii="IBM Plex Sans" w:hAnsi="IBM Plex Sans"/>
          <w:bCs/>
          <w:color w:val="040404"/>
          <w:sz w:val="22"/>
          <w:szCs w:val="22"/>
          <w:u w:val="none"/>
          <w:lang w:eastAsia="es-ES"/>
        </w:rPr>
        <w:t>5.800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 euros (IGIC incluido).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3. SECRETARIA GENERAL. 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2020/00007766N. DEVOLUCIÓN DE FIANZA DEPOSITADA EN CONCEPTO DE GARANTÍA DE EJECUCIÓN DEL CONTRATO DEL SERVICIO DE “GESTIÓN DE LOS TEATROS MUNICIPALES DE AGÜIMES”.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Esta Junta de Gobierno Local, actuando por delegación de Alcaldía de conformidad con el decreto 2019/1563, de fecha 20 de junio,  acuerda por unanimidad dar su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aprobación al contenido de la precedente propuesta, conforme a los informes emitidos al respecto, que estima FAVORABLE la devolución de fianza depositada por la empresa CAMINO VIEJO PRODUCCIONES, SL, con CIF: ****0368*, en concepto de garantía definitiva al contrato de “GESTIÓN DE LOS TEATROS MUNICIPALES DE AGÜIMES”, 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y la aceptación de la citada propuesta servirá de motivación a esta resolución al quedar incorporado al texto la misma, según el artículo 88.6 de la Ley 39/2015, de 1 de octubre, del Procedimiento Administrativo Común de las Administraciones Públicas.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4. CONTRATACIÓN. 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2019/00016508Z. ACUERDO MEJOR OFERTA DE ADJUDICACIÓN DEL CONTRATO DE AUTORIZACIÓN ADMINISTRATIVA DEL USO PRIVATIVO DE DOMINIO PÚBLICO “INSTALACIÓN DE MÁQUINAS EXPENDEDORAS EN EDIFICIOS MUNICIPALES”.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Esta Junta de Gobierno Local, actuando por delegación de Alcaldía de conformidad con el decreto 2019/1563, de fecha 20 de junio,  acuerda por unanimidad dar su aprobación al contenido de la precedente Acta, y en base a ello: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Acordar como Mejor oferta para la adjudicación del contrato de autorización administrativa del uso privativo de dominio público "INSTALACIÓN DE MÁQUINAS EXPENDEDORAS EN EDIFICIOS MUNICIPALES", la presentada por la empresa  </w:t>
      </w:r>
      <w:r>
        <w:rPr>
          <w:rFonts w:eastAsia="Verdana-Bold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 xml:space="preserve">FSV GRAN CANARIA, SL,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 xml:space="preserve">con CIF ****8529*,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por un canon anual por máquina de QUINIENTOS (500 €) EUROS, más una baja lineal de precios de un 15% y las mejoras establecidas en su oferta.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La aceptación de la citada Actas servirá de motivación a esta resolución al quedar incorporado al texto las mismas, según el artículo 88.6 de la Ley 39/2015, de 1 de octubre, del Procedimiento Administrativo Común de las Administraciones Públicas.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Asimismo, se acuerda por esta misma Junta se le conceda a la licitadora propuesta, para que en 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el plazo de DIEZ (10) DÍAS HÁBILES, a contar desde el siguiente a aquel en el que hubiera recibido el requerimiento, proceda a la constitución de la garantía definitiva por importe del 3%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  <w:lang w:val="es-ES_tradnl"/>
        </w:rPr>
        <w:t>del valor del dominio público ocupado, ascendiendo a la cantidad de 283,92 euros, así como la documentación correspondiente según cláusula 16 del pliego administrativo.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5. CONTRATACIÓN. 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2020/00004925T. ACUERDO DE APROBACIÓN EXPEDIENTE Y GASTO PARA LA ADJUDICACIÓN MEDIANTE PROCEDIMIENTO ABIERTO SIMPLIFICADO DE LA OBRA “INTERVENCIÓN EN CENTROS ESCOLARES. LOTE I Y II”.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val="es-ES_tradnl"/>
        </w:rPr>
        <w:t xml:space="preserve">Mediante acuerdo de la Junta de Gobierno Local, en sesión celebrada el día 4 de mayo de 2020, se aprobó el inicio de expediente para la contratación  de la obra </w:t>
      </w:r>
      <w:r>
        <w:rPr>
          <w:rFonts w:cs="Verdana" w:ascii="IBM Plex Sans" w:hAnsi="IBM Plex Sans"/>
          <w:b w:val="false"/>
          <w:bCs w:val="false"/>
          <w:caps/>
          <w:color w:val="040404"/>
          <w:sz w:val="22"/>
          <w:szCs w:val="22"/>
          <w:u w:val="none"/>
          <w:lang w:eastAsia="es-ES"/>
        </w:rPr>
        <w:t>"INTERVENCIÓN EN CENTROS ESCOLARES. LOTE I Y II"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val="es-ES_tradnl"/>
        </w:rPr>
        <w:t xml:space="preserve">Completado el expediente de contratación y en conformidad con lo dispuesto en el artículo 117 de la Ley de Contratos del Sector Público, esta Junta de Gobierno Local,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actuando por delegación de Alcaldía de conformidad con el decreto 2019/1563,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val="es-ES_tradnl"/>
        </w:rPr>
        <w:t xml:space="preserve">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de fecha 20 de junio,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val="es-ES_tradnl"/>
        </w:rPr>
        <w:t>acuerda por unanimidad: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1. Aprobar el expediente.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2. Disponer la apertura de adjudicación mediante el procedimiento abierto, simplificado y tramitación ordinaria.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val="es-ES_tradnl"/>
        </w:rPr>
        <w:t xml:space="preserve">3. Aprobar el gasto con cargo a la aplicación presupuestaria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eastAsia="es-ES"/>
        </w:rPr>
        <w:t>323P/6320000.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4. Facultar al Sr. Alcalde para la realización de cuantas gestiones sean necesarias y se deriven de dicho expediente.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6. CONTRATACIÓN. 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NÚMERO: 2019/00015181K. LEVANTAR SUSPENSIÓN DEL EXPEDIENTE DE CONTRATACIÓN DE LA OBRA “RENOVACIÓN DEL PAVIMENTO DEPORTIVO DEL PABELLÓN DE AGÜIMES” Y DESESTIMAR RECURSO PRESENTADO CONTRA ACUERDO DE ADJUDICACIÓN.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Esta Junta de Gobierno Local, actuando por delegación de Alcaldía de conformidad con el decreto 2019/1563, de fecha 20 de junio,  acuerda por unanimidad dar su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aprobación al contenido de la precedente propuesta, por el que se levanta la suspensión del expediente de contratación de la obra "RENOVACIÓN DEL PAVIMENTO DEPORTIVO DEL PABELLÓN DE AGÜIMES" y se desestima íntegramente el recurso interpuesto contra acuerdo de adjudicación, conforme al informe técnico emitido al efecto y que a continuación se reproduce en su tenor literal, </w:t>
      </w:r>
      <w:r>
        <w:rPr>
          <w:rFonts w:eastAsia="Verdana" w:cs="Verdana" w:ascii="IBM Plex Sans" w:hAnsi="IBM Plex Sans"/>
          <w:b/>
          <w:color w:val="040404"/>
          <w:sz w:val="22"/>
          <w:szCs w:val="22"/>
          <w:u w:val="none"/>
        </w:rPr>
        <w:t xml:space="preserve">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y la aceptación de la citada propuesta servirá de motivación a esta resolución al quedar incorporado al texto la misma, según el artículo 88.6 de la Ley 39/2015, de 1 de octubre, del Procedimiento Administrativo Común de las Administraciones Públicas.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7. SECRETARIA GENERAL. 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NÚMERO: 2018/00001771F. PRÓRROGA DEL CONTRATO DE “ARRENDAMIENTO DEL BAR- RESTAURANTE LOS HORNOS DE CAL DE ARINAGA”.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Esta Junta de Gobierno Local, actuando por delegación de Alcaldía de conformidad con el decreto 2019/1563, de fecha 20 de junio,  acuerda por unanimidad dar su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aprobación al contenido de la precedente propuesta y en base a ello la prórroga del contrato de 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“ARRENDAMIENTO DEL BAR-RESTAURANTE LOS HORNOS DE CAL DE ARINAGA”, surtiendo efecto desde el día 14 de julio de 2020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y la aceptación de la citada propuesta servirá de motivación a esta resolución al quedar incorporado al texto la misma, según el artículo 88.6 de la Ley 39/2015, de 1 de octubre, del Procedimiento Administrativo Común de las Administraciones Públicas.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9355" cy="1067054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27" r="-38" b="-27"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7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Refdecomentario">
    <w:name w:val="Ref. de comentario"/>
    <w:qFormat/>
    <w:rPr>
      <w:sz w:val="16"/>
    </w:rPr>
  </w:style>
  <w:style w:type="character" w:styleId="SangradetextonormalCar">
    <w:name w:val="Sangría de texto normal Car"/>
    <w:qFormat/>
    <w:rPr>
      <w:sz w:val="22"/>
    </w:rPr>
  </w:style>
  <w:style w:type="character" w:styleId="Sangra2detindependienteCar">
    <w:name w:val="Sangría 2 de t. independiente Car"/>
    <w:qFormat/>
    <w:rPr>
      <w:rFonts w:ascii="Calibri" w:hAnsi="Calibri" w:eastAsia="Times New Roman"/>
    </w:rPr>
  </w:style>
  <w:style w:type="character" w:styleId="Textoindependiente2Car">
    <w:name w:val="Texto independiente 2 Car"/>
    <w:qFormat/>
    <w:rPr>
      <w:rFonts w:ascii="Times New Roman" w:hAnsi="Times New Roman" w:eastAsia="Times New Roman"/>
      <w:szCs w:val="20"/>
    </w:rPr>
  </w:style>
  <w:style w:type="character" w:styleId="WW8Num4z0">
    <w:name w:val="WW8Num4z0"/>
    <w:qFormat/>
    <w:rPr>
      <w:rFonts w:ascii="Verdana" w:hAnsi="Verdana" w:eastAsia="Verdana"/>
    </w:rPr>
  </w:style>
  <w:style w:type="character" w:styleId="WW8Num3z0">
    <w:name w:val="WW8Num3z0"/>
    <w:qFormat/>
    <w:rPr>
      <w:rFonts w:ascii="Verdana" w:hAnsi="Verdana" w:eastAsia="Arial"/>
      <w:sz w:val="20"/>
      <w:szCs w:val="2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Parrafo22">
    <w:name w:val="parrafo_22"/>
    <w:basedOn w:val="Normal"/>
    <w:qFormat/>
    <w:pPr>
      <w:spacing w:lineRule="atLeast" w:line="240" w:before="360" w:after="180"/>
      <w:ind w:left="0" w:right="0" w:firstLine="360"/>
      <w:jc w:val="both"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Parrafo1">
    <w:name w:val="parrafo1"/>
    <w:basedOn w:val="Normal"/>
    <w:qFormat/>
    <w:pPr>
      <w:spacing w:lineRule="atLeast" w:line="240" w:before="180" w:after="180"/>
      <w:ind w:left="0" w:right="0" w:firstLine="360"/>
      <w:jc w:val="both"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LibreOffice/6.4.3.2$Windows_X86_64 LibreOffice_project/747b5d0ebf89f41c860ec2a39efd7cb15b54f2d8</Application>
  <Pages>3</Pages>
  <Words>980</Words>
  <CharactersWithSpaces>6298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2021-03-10T18:32:22Z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