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eastAsia="Verdana" w:cs="Verdana" w:ascii="Roboto Slab" w:hAnsi="Roboto Slab"/>
          <w:b/>
          <w:bCs/>
          <w:color w:val="2A265A"/>
          <w:sz w:val="36"/>
          <w:szCs w:val="36"/>
          <w:u w:val="none"/>
          <w:lang w:eastAsia="ar-SA"/>
        </w:rPr>
        <w:t>ACUERDOS</w:t>
      </w:r>
      <w:r>
        <w:rPr>
          <w:rFonts w:eastAsia="Verdana" w:cs="Verdana" w:ascii="Roboto Slab" w:hAnsi="Roboto Slab"/>
          <w:b/>
          <w:bCs/>
          <w:color w:val="2A265A"/>
          <w:sz w:val="36"/>
          <w:szCs w:val="36"/>
          <w:u w:val="none"/>
        </w:rPr>
        <w:t xml:space="preserve"> JUNTA DE GOBIERNO LOCAL</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VEINTISÉIS DE OCTUBRE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 SECRETARÍA GENERAL. NÚMERO: 2020/000011413K. LECTURA Y APROBACIÓN SI PROCEDE, DEL BORRADOR DEL ACTA DE LA SESIÓN CELEBRADA EL DIECINUEVE DE OCTUBRE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 sesión celebrada el día diecinueve de octubre de dos mil veinte, la misma es aprobada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2. RECURSOS HUMANOS.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2020/00004654M. APROBACIÓN DE EXPEDIENTE Y GASTO PARA EL PROCEDIMIENTO DE ADJUDICACIÓN DEL CONTRATO DE “SERVICIO POSTAL DEL AYUNTAMIENTO DE AGÜIMES Y JUZGADO DE PAZ”.</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Mediante acuerdos de la Junta de Gobierno Local, en sesiones celebradas los días 27 de abril y 18 de mayo de 2020, se aprobó el inicio de expediente para la contratación  del</w:t>
      </w:r>
      <w:r>
        <w:rPr>
          <w:rFonts w:eastAsia="Verdana" w:cs="Verdana" w:ascii="IBM Plex Sans" w:hAnsi="IBM Plex Sans"/>
          <w:b w:val="false"/>
          <w:bCs w:val="false"/>
          <w:color w:val="040404"/>
          <w:sz w:val="22"/>
          <w:szCs w:val="22"/>
          <w:u w:val="none"/>
          <w:lang w:val="es-ES_tradnl"/>
        </w:rPr>
        <w:t xml:space="preserve"> </w:t>
      </w:r>
      <w:r>
        <w:rPr>
          <w:rFonts w:eastAsia="Verdana-Bold" w:cs="Verdana" w:ascii="IBM Plex Sans" w:hAnsi="IBM Plex Sans"/>
          <w:b w:val="false"/>
          <w:bCs w:val="false"/>
          <w:color w:val="040404"/>
          <w:sz w:val="22"/>
          <w:szCs w:val="22"/>
          <w:u w:val="none"/>
          <w:lang w:eastAsia="es-ES"/>
        </w:rPr>
        <w:t>“SERVICIO POSTAL DEL AYUNTAMIENTO DE AGÜIMES Y JUZGADO DE PAZ”.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Completado el expediente de contratación y en conformidad con lo dispuesto en el artículo 117 de la Ley de Contratos del Sector Público, esta Junta de Gobierno Local, </w:t>
      </w:r>
      <w:r>
        <w:rPr>
          <w:rFonts w:eastAsia="Verdana" w:cs="Verdana" w:ascii="IBM Plex Sans" w:hAnsi="IBM Plex Sans"/>
          <w:color w:val="040404"/>
          <w:sz w:val="22"/>
          <w:szCs w:val="22"/>
          <w:u w:val="none"/>
        </w:rPr>
        <w:t>actuando por delegación de Alcaldía de conformidad con el decreto 2019/1563,</w:t>
      </w:r>
      <w:r>
        <w:rPr>
          <w:rFonts w:eastAsia="Verdana" w:cs="Verdana" w:ascii="IBM Plex Sans" w:hAnsi="IBM Plex Sans"/>
          <w:color w:val="040404"/>
          <w:sz w:val="22"/>
          <w:szCs w:val="22"/>
          <w:u w:val="none"/>
          <w:lang w:val="es-ES_tradnl"/>
        </w:rPr>
        <w:t xml:space="preserve"> </w:t>
      </w:r>
      <w:r>
        <w:rPr>
          <w:rFonts w:eastAsia="Verdana" w:cs="Verdana" w:ascii="IBM Plex Sans" w:hAnsi="IBM Plex Sans"/>
          <w:color w:val="040404"/>
          <w:sz w:val="22"/>
          <w:szCs w:val="22"/>
          <w:u w:val="none"/>
        </w:rPr>
        <w:t xml:space="preserve">de fecha 20 de junio, </w:t>
      </w:r>
      <w:r>
        <w:rPr>
          <w:rFonts w:eastAsia="Verdana" w:cs="Verdana" w:ascii="IBM Plex Sans" w:hAnsi="IBM Plex Sans"/>
          <w:color w:val="040404"/>
          <w:sz w:val="22"/>
          <w:szCs w:val="22"/>
          <w:u w:val="none"/>
          <w:lang w:val="es-ES_tradnl"/>
        </w:rPr>
        <w:t>acuerda por unanimidad: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Aprobar el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Disponer la apertura de adjudicación mediante el procedimiento abierto y tramitación ordinaria.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3. Aprobar el gasto con cargo a las aplicaciones presupuestarias </w:t>
      </w:r>
      <w:r>
        <w:rPr>
          <w:rFonts w:eastAsia="Verdana" w:cs="Verdana" w:ascii="IBM Plex Sans" w:hAnsi="IBM Plex Sans"/>
          <w:color w:val="040404"/>
          <w:sz w:val="22"/>
          <w:szCs w:val="22"/>
          <w:u w:val="none"/>
          <w:lang w:eastAsia="es-ES"/>
        </w:rPr>
        <w:t>920A/2220100 y 920Z/2220100.</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4. Facultar al Sr. Alcalde para la realización de cuantas gestiones sean necesarias y se deriven de dicho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3. RECURSOS HUMANOS.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2019/00015116W. APROBACIÓN DE EXPEDIENTE Y GASTO PARA EL PROCEDIMIENTO DE ADJUDICACIÓN DEL CONTRATO EN RÉGIMEN ARRENDAMIENTO CON OPCIÓN DE COMPRA, INSTALACIÓN Y PUESTA EN FUNCIONAMIENTO DE DESFIBRILADORES.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Mediante acuerdos de la Junta de Gobierno Local, en sesiones celebradas los días 27 de abril y 18 de mayo de 2020, se aprobó el inicio de expediente para la contratación  en  </w:t>
      </w:r>
      <w:r>
        <w:rPr>
          <w:rFonts w:eastAsia="Verdana" w:cs="Verdana" w:ascii="IBM Plex Sans" w:hAnsi="IBM Plex Sans"/>
          <w:b w:val="false"/>
          <w:bCs w:val="false"/>
          <w:color w:val="040404"/>
          <w:sz w:val="22"/>
          <w:szCs w:val="22"/>
          <w:u w:val="none"/>
          <w:lang w:val="es-ES_tradnl"/>
        </w:rPr>
        <w:t>"</w:t>
      </w:r>
      <w:r>
        <w:rPr>
          <w:rFonts w:eastAsia="Verdana-Bold" w:cs="Verdana" w:ascii="IBM Plex Sans" w:hAnsi="IBM Plex Sans"/>
          <w:b w:val="false"/>
          <w:bCs w:val="false"/>
          <w:color w:val="040404"/>
          <w:sz w:val="22"/>
          <w:szCs w:val="22"/>
          <w:u w:val="none"/>
          <w:lang w:eastAsia="es-ES"/>
        </w:rPr>
        <w:t>RÉGIMEN DE ARRENDAMIENTO CON OPCI</w:t>
      </w:r>
      <w:r>
        <w:rPr>
          <w:rFonts w:eastAsia="Verdana-Bold" w:cs="Verdana" w:ascii="IBM Plex Sans" w:hAnsi="IBM Plex Sans"/>
          <w:b w:val="false"/>
          <w:bCs w:val="false"/>
          <w:color w:val="040404"/>
          <w:sz w:val="22"/>
          <w:szCs w:val="22"/>
          <w:u w:val="none"/>
          <w:lang w:eastAsia="es-ES"/>
        </w:rPr>
        <w:t>Ó</w:t>
      </w:r>
      <w:r>
        <w:rPr>
          <w:rFonts w:eastAsia="Verdana-Bold" w:cs="Verdana" w:ascii="IBM Plex Sans" w:hAnsi="IBM Plex Sans"/>
          <w:b w:val="false"/>
          <w:bCs w:val="false"/>
          <w:color w:val="040404"/>
          <w:sz w:val="22"/>
          <w:szCs w:val="22"/>
          <w:u w:val="none"/>
          <w:lang w:eastAsia="es-ES"/>
        </w:rPr>
        <w:t>N DE COMPRA, INSTALACIÓN Y PUESTA EN FUNCIONAMIENTO DE 3 DESFIBRILADORES SEMIAUTOMÁTICOS PROPIEDAD DEL AYUNTAMIENTO DE AGÜIMES PARA LAS INSTALACIONES DEPORTIVAS MUNICIPALES Y OTRAS DEPENDENCIAS DEL ILUSTRE AYUNTAMIENTO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Completado el expediente de contratación y en conformidad con lo dispuesto en el artículo 117 de la Ley de Contratos del Sector Público, esta Junta de Gobierno Local, </w:t>
      </w:r>
      <w:r>
        <w:rPr>
          <w:rFonts w:eastAsia="Verdana" w:cs="Verdana" w:ascii="IBM Plex Sans" w:hAnsi="IBM Plex Sans"/>
          <w:color w:val="040404"/>
          <w:sz w:val="22"/>
          <w:szCs w:val="22"/>
          <w:u w:val="none"/>
        </w:rPr>
        <w:t>actuando por delegación de Alcaldía de conformidad con el decreto 2019/1563,</w:t>
      </w:r>
      <w:r>
        <w:rPr>
          <w:rFonts w:eastAsia="Verdana" w:cs="Verdana" w:ascii="IBM Plex Sans" w:hAnsi="IBM Plex Sans"/>
          <w:color w:val="040404"/>
          <w:sz w:val="22"/>
          <w:szCs w:val="22"/>
          <w:u w:val="none"/>
          <w:lang w:val="es-ES_tradnl"/>
        </w:rPr>
        <w:t xml:space="preserve"> </w:t>
      </w:r>
      <w:r>
        <w:rPr>
          <w:rFonts w:eastAsia="Verdana" w:cs="Verdana" w:ascii="IBM Plex Sans" w:hAnsi="IBM Plex Sans"/>
          <w:color w:val="040404"/>
          <w:sz w:val="22"/>
          <w:szCs w:val="22"/>
          <w:u w:val="none"/>
        </w:rPr>
        <w:t xml:space="preserve">de fecha 20 de junio, </w:t>
      </w:r>
      <w:r>
        <w:rPr>
          <w:rFonts w:eastAsia="Verdana" w:cs="Verdana" w:ascii="IBM Plex Sans" w:hAnsi="IBM Plex Sans"/>
          <w:color w:val="040404"/>
          <w:sz w:val="22"/>
          <w:szCs w:val="22"/>
          <w:u w:val="none"/>
          <w:lang w:val="es-ES_tradnl"/>
        </w:rPr>
        <w:t>acuerda por unanimidad: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Aprobar el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Disponer la apertura de adjudicación mediante el procedimiento abierto, simplificado, sumario y tramitación ordinaria.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3. Aprobar el gasto con cargo a las aplicaciones presupuestarias </w:t>
      </w:r>
      <w:r>
        <w:rPr>
          <w:rFonts w:eastAsia="Verdana" w:cs="Verdana" w:ascii="IBM Plex Sans" w:hAnsi="IBM Plex Sans"/>
          <w:color w:val="040404"/>
          <w:sz w:val="22"/>
          <w:szCs w:val="22"/>
          <w:u w:val="none"/>
          <w:lang w:eastAsia="es-ES"/>
        </w:rPr>
        <w:t>342B/2030000, 342P1/2030000, 342P2/2030000, 132A/2279911, 135P/2279911, 342C/2279911, 342B/2279911, 342P1/2279911 y 342P2/2279911.</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4. Facultar al Sr. Alcalde para la realización de cuantas gestiones sean necesarias y se deriven de dicho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4. OFICINA TÉCNICA -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2020/00011467Y. APROBACIÓN MEMORIA TÉCNICA PARA LA EJECUCIÓN DE LA OBRA “MEJORAS Y AMPLIACIÓN CANALIZACIONES ALUMBRADO CALLES MENCEYES, AUTINDANA Y MOZART”.</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Esta Junta de Gobierno Local, actuando por delegación de Alcaldía de conformidad con el decreto 2019/1563, de fecha 20 de junio, acuerda por unanimidad la aprobación de la Memoria Técnica de la obra</w:t>
      </w:r>
      <w:r>
        <w:rPr>
          <w:rFonts w:eastAsia="Verdana" w:cs="Verdana" w:ascii="IBM Plex Sans" w:hAnsi="IBM Plex Sans"/>
          <w:b w:val="false"/>
          <w:bCs w:val="false"/>
          <w:color w:val="040404"/>
          <w:sz w:val="22"/>
          <w:szCs w:val="22"/>
          <w:u w:val="none"/>
        </w:rPr>
        <w:t xml:space="preserve"> </w:t>
      </w:r>
      <w:r>
        <w:rPr>
          <w:rFonts w:eastAsia="Arial" w:cs="Verdana" w:ascii="IBM Plex Sans" w:hAnsi="IBM Plex Sans"/>
          <w:b w:val="false"/>
          <w:bCs w:val="false"/>
          <w:caps/>
          <w:color w:val="040404"/>
          <w:sz w:val="22"/>
          <w:szCs w:val="22"/>
          <w:u w:val="none"/>
          <w:lang w:eastAsia="es-ES"/>
        </w:rPr>
        <w:t>“MEJORAS Y AMPLIACIÓN CANALIZACIONES ALUMBRADO CALLES MENCEYES, AUTINDANA Y MOZART”</w:t>
      </w:r>
      <w:r>
        <w:rPr>
          <w:rFonts w:eastAsia="Verdana" w:cs="Verdana" w:ascii="IBM Plex Sans" w:hAnsi="IBM Plex Sans"/>
          <w:b w:val="false"/>
          <w:bCs w:val="false"/>
          <w:color w:val="040404"/>
          <w:sz w:val="22"/>
          <w:szCs w:val="22"/>
          <w:u w:val="none"/>
        </w:rPr>
        <w:t>,</w:t>
      </w:r>
      <w:r>
        <w:rPr>
          <w:rFonts w:eastAsia="Verdana" w:cs="Verdana" w:ascii="IBM Plex Sans" w:hAnsi="IBM Plex Sans"/>
          <w:color w:val="040404"/>
          <w:sz w:val="22"/>
          <w:szCs w:val="22"/>
          <w:u w:val="none"/>
        </w:rPr>
        <w:t xml:space="preserve"> redactado  por el Ingeniero Técnico Industrial de este Ayuntamiento, don Yone F. Díaz Pérez, con un presupuesto total de ejecución por contrata de </w:t>
      </w:r>
      <w:r>
        <w:rPr>
          <w:rFonts w:eastAsia="Verdana" w:cs="Verdana" w:ascii="IBM Plex Sans" w:hAnsi="IBM Plex Sans"/>
          <w:bCs/>
          <w:color w:val="040404"/>
          <w:sz w:val="22"/>
          <w:szCs w:val="22"/>
          <w:u w:val="none"/>
          <w:lang w:eastAsia="es-ES"/>
        </w:rPr>
        <w:t>25.934,83</w:t>
      </w:r>
      <w:r>
        <w:rPr>
          <w:rFonts w:eastAsia="Verdana" w:cs="Verdana" w:ascii="IBM Plex Sans" w:hAnsi="IBM Plex Sans"/>
          <w:b/>
          <w:bCs/>
          <w:color w:val="040404"/>
          <w:sz w:val="22"/>
          <w:szCs w:val="22"/>
          <w:u w:val="none"/>
          <w:lang w:eastAsia="es-ES"/>
        </w:rPr>
        <w:t xml:space="preserve"> </w:t>
      </w:r>
      <w:r>
        <w:rPr>
          <w:rFonts w:eastAsia="Verdana" w:cs="Verdana" w:ascii="IBM Plex Sans" w:hAnsi="IBM Plex Sans"/>
          <w:color w:val="040404"/>
          <w:sz w:val="22"/>
          <w:szCs w:val="22"/>
          <w:u w:val="none"/>
        </w:rPr>
        <w:t>euros (IGIC incluido).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5. OFICINA TÉCNICA -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2020/00009853Y. RELATIVO AL NOMBRAMIENTO DE RESPONSABLE SUPERVISOR Y DIRECTOR DE LA OBRA “PRINCESA MASEQUERA. PAVIMENTACIÓN ASFÁLTICA”.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Atendiendo a lo expuesto, esta Junta de Gobierno Local,</w:t>
      </w:r>
      <w:r>
        <w:rPr>
          <w:rFonts w:eastAsia="Verdana" w:cs="Verdana" w:ascii="IBM Plex Sans" w:hAnsi="IBM Plex Sans"/>
          <w:color w:val="040404"/>
          <w:sz w:val="22"/>
          <w:szCs w:val="22"/>
          <w:u w:val="none"/>
        </w:rPr>
        <w:t xml:space="preserve"> actuando por delegación de Alcaldía de conformidad con el decreto 2019/1563, de fecha 20 de junio, acuerda por unanimidad la aprobación de la precedente propuesta y en base a ello:</w:t>
      </w:r>
    </w:p>
    <w:p>
      <w:pPr>
        <w:pStyle w:val="Normal"/>
        <w:jc w:val="left"/>
        <w:rPr>
          <w:rFonts w:ascii="IBM Plex Sans" w:hAnsi="IBM Plex Sans"/>
          <w:color w:val="040404"/>
          <w:sz w:val="22"/>
          <w:szCs w:val="22"/>
          <w:u w:val="none"/>
        </w:rPr>
      </w:pPr>
      <w:r>
        <w:rPr>
          <w:rFonts w:eastAsia="Verdana" w:cs="Verdana" w:ascii="IBM Plex Sans" w:hAnsi="IBM Plex Sans"/>
          <w:b w:val="false"/>
          <w:bCs w:val="false"/>
          <w:color w:val="040404"/>
          <w:sz w:val="22"/>
          <w:szCs w:val="22"/>
          <w:u w:val="none"/>
        </w:rPr>
        <w:t>Nombrar al Ingeniero de Edificación de este Ayuntamiento, don Ángel Luis Pérez Rodríguez, Responsable Supervisor de ejecución del contrato "PRINCESA MASEQUERA. PAVIMENTACIÓN ASFÁLTICA", y Director Facultativo de dicha obra,</w:t>
      </w:r>
      <w:r>
        <w:rPr>
          <w:rFonts w:eastAsia="Verdana" w:cs="Verdana" w:ascii="IBM Plex Sans" w:hAnsi="IBM Plex Sans"/>
          <w:color w:val="040404"/>
          <w:sz w:val="22"/>
          <w:szCs w:val="22"/>
          <w:u w:val="none"/>
        </w:rPr>
        <w:t xml:space="preserve"> hasta tanto se reincorpore al servicio don Manuel Méndez Trujillo, el Ingeniero Técnico Municipal redactor de dicho proyecto, que fue nombrado Responsable y Director de obra en acuerdo de adjudicación de la misma, pero que actualmente se encuentra de baja temporal.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6. RECURSOS HUMANOS.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2020/00004992K. APROBACIÓN MEJOR OFERTA PARA LA ADJUDICACIÓN DEL LOTE 1 Y 2 DEL CONTRATO DE “SERVICIO DE PREVENCIÓN AJENO DE RIESGOS LABORALES, VIGILANCIA DE LA SALUD Y COORDINACIÓN DE SEGURIDAD Y SALUD EN OBRAS DE CONSTRUCCIÓN DEL AYUNTAMIENTO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dar su aprobación al contenido de la precedente Acta, y en base a ello:</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1. Acordar como</w:t>
      </w:r>
      <w:r>
        <w:rPr>
          <w:rFonts w:eastAsia="Verdana" w:cs="Verdana" w:ascii="IBM Plex Sans" w:hAnsi="IBM Plex Sans"/>
          <w:b/>
          <w:color w:val="040404"/>
          <w:sz w:val="22"/>
          <w:szCs w:val="22"/>
          <w:u w:val="none"/>
        </w:rPr>
        <w:t xml:space="preserve"> </w:t>
      </w:r>
      <w:r>
        <w:rPr>
          <w:rFonts w:eastAsia="Verdana" w:cs="Verdana" w:ascii="IBM Plex Sans" w:hAnsi="IBM Plex Sans"/>
          <w:b w:val="false"/>
          <w:bCs w:val="false"/>
          <w:color w:val="040404"/>
          <w:sz w:val="22"/>
          <w:szCs w:val="22"/>
          <w:u w:val="none"/>
        </w:rPr>
        <w:t>Mejor oferta para la adjudicación del LOTE 1 y 2 del contrato del "SERVICIO DE PREVENCIÓN AJENO DE RIESGOS LABORALES, VIGILANCIA DE LA SALUD Y COORDINACIÓN DE SEGURIDAD Y SALUD EN OBRAS DE CONSTRUCCIÓN DEL AYUNTAMIENTO DE AGÜIMES", como sigue:</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color w:val="040404"/>
          <w:sz w:val="22"/>
          <w:szCs w:val="22"/>
          <w:u w:val="none"/>
        </w:rPr>
      </w:pPr>
      <w:r>
        <w:rPr>
          <w:rFonts w:eastAsia="Verdana-Bold" w:cs="Verdana" w:ascii="IBM Plex Sans" w:hAnsi="IBM Plex Sans"/>
          <w:b w:val="false"/>
          <w:bCs w:val="false"/>
          <w:caps/>
          <w:color w:val="040404"/>
          <w:sz w:val="22"/>
          <w:szCs w:val="22"/>
          <w:u w:val="none"/>
          <w:lang w:eastAsia="es-ES"/>
        </w:rPr>
        <w:t>LOTE I</w:t>
      </w:r>
      <w:r>
        <w:rPr>
          <w:rFonts w:eastAsia="Verdana" w:cs="Verdana" w:ascii="IBM Plex Sans" w:hAnsi="IBM Plex Sans"/>
          <w:b w:val="false"/>
          <w:bCs w:val="false"/>
          <w:caps/>
          <w:color w:val="040404"/>
          <w:sz w:val="22"/>
          <w:szCs w:val="22"/>
          <w:u w:val="none"/>
          <w:lang w:eastAsia="es-ES"/>
        </w:rPr>
        <w:t xml:space="preserve">: SERVICIOS DE PREVENCIÓN DE RIESGOS LABORALES EN LAS MODALIDADES DE SEGURIDAD E HIGIENE DEL TRABAJO, HIGIENE INDUSTRIAL Y ERGONOMÍA Y PSICOSOCIOLOGÍA. VIGILANCIA DE SALUD INDIVIDUAL, </w:t>
      </w:r>
      <w:r>
        <w:rPr>
          <w:rFonts w:eastAsia="Verdana" w:cs="Verdana" w:ascii="IBM Plex Sans" w:hAnsi="IBM Plex Sans"/>
          <w:b w:val="false"/>
          <w:bCs w:val="false"/>
          <w:color w:val="040404"/>
          <w:sz w:val="22"/>
          <w:szCs w:val="22"/>
          <w:u w:val="none"/>
          <w:lang w:eastAsia="es-ES"/>
        </w:rPr>
        <w:t>a la entidad mercantil</w:t>
      </w:r>
      <w:r>
        <w:rPr>
          <w:rFonts w:eastAsia="Verdana" w:cs="Verdana" w:ascii="IBM Plex Sans" w:hAnsi="IBM Plex Sans"/>
          <w:b w:val="false"/>
          <w:bCs w:val="false"/>
          <w:color w:val="040404"/>
          <w:sz w:val="22"/>
          <w:szCs w:val="22"/>
          <w:u w:val="none"/>
        </w:rPr>
        <w:t xml:space="preserve"> ASPY PREVENCION, SLU</w:t>
      </w:r>
      <w:r>
        <w:rPr>
          <w:rFonts w:eastAsia="Arial" w:cs="Verdana" w:ascii="IBM Plex Sans" w:hAnsi="IBM Plex Sans"/>
          <w:b w:val="false"/>
          <w:bCs w:val="false"/>
          <w:color w:val="040404"/>
          <w:sz w:val="22"/>
          <w:szCs w:val="22"/>
          <w:u w:val="none"/>
        </w:rPr>
        <w:t xml:space="preserve">, </w:t>
      </w:r>
      <w:r>
        <w:rPr>
          <w:rFonts w:eastAsia="Verdana" w:cs="Verdana" w:ascii="IBM Plex Sans" w:hAnsi="IBM Plex Sans"/>
          <w:b w:val="false"/>
          <w:bCs w:val="false"/>
          <w:color w:val="040404"/>
          <w:sz w:val="22"/>
          <w:szCs w:val="22"/>
          <w:u w:val="none"/>
          <w:lang w:eastAsia="es-ES"/>
        </w:rPr>
        <w:t xml:space="preserve"> </w:t>
      </w:r>
      <w:r>
        <w:rPr>
          <w:rFonts w:eastAsia="Arial" w:cs="Verdana" w:ascii="IBM Plex Sans" w:hAnsi="IBM Plex Sans"/>
          <w:b w:val="false"/>
          <w:bCs w:val="false"/>
          <w:color w:val="040404"/>
          <w:sz w:val="22"/>
          <w:szCs w:val="22"/>
          <w:u w:val="none"/>
        </w:rPr>
        <w:t>por importe de OCHO MIL OCHOCIENTOS (8.800 €) EUROS ANUALES, excluido IGIC, en la modalidad de Seguridad e Higiene del Trabajo, Higiene Industrial y Ergonomía Psicosociológica, y por un importe unitario de  CUARENTA Y OCHO (48 €) EUROS, e</w:t>
      </w:r>
      <w:r>
        <w:rPr>
          <w:rFonts w:eastAsia="Arial" w:cs="Verdana" w:ascii="IBM Plex Sans" w:hAnsi="IBM Plex Sans"/>
          <w:color w:val="040404"/>
          <w:sz w:val="22"/>
          <w:szCs w:val="22"/>
          <w:u w:val="none"/>
        </w:rPr>
        <w:t xml:space="preserve">n la modalidad de Vigilancia de la Salud, y con la mejora establecida en su oferta de 20 unidades anuales de </w:t>
      </w:r>
      <w:r>
        <w:rPr>
          <w:rFonts w:eastAsia="Arial" w:cs="Verdana" w:ascii="IBM Plex Sans" w:hAnsi="IBM Plex Sans"/>
          <w:color w:val="040404"/>
          <w:spacing w:val="-3"/>
          <w:sz w:val="22"/>
          <w:szCs w:val="22"/>
          <w:u w:val="none"/>
        </w:rPr>
        <w:t>reconocimientos médicos gratuitos.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Bold" w:cs="Verdana" w:ascii="IBM Plex Sans" w:hAnsi="IBM Plex Sans"/>
          <w:b w:val="false"/>
          <w:bCs w:val="false"/>
          <w:caps/>
          <w:color w:val="040404"/>
          <w:sz w:val="22"/>
          <w:szCs w:val="22"/>
          <w:u w:val="none"/>
          <w:lang w:eastAsia="es-ES"/>
        </w:rPr>
        <w:t>LOTE II</w:t>
      </w:r>
      <w:r>
        <w:rPr>
          <w:rFonts w:eastAsia="Verdana" w:cs="Verdana" w:ascii="IBM Plex Sans" w:hAnsi="IBM Plex Sans"/>
          <w:b w:val="false"/>
          <w:bCs w:val="false"/>
          <w:caps/>
          <w:color w:val="040404"/>
          <w:sz w:val="22"/>
          <w:szCs w:val="22"/>
          <w:u w:val="none"/>
          <w:lang w:eastAsia="es-ES"/>
        </w:rPr>
        <w:t xml:space="preserve">: MODALIDAD DE COORDINACIÓN DE SEGURIDAD Y SALUD EN OBRAS DE CONSTRUCCIÓN, </w:t>
      </w:r>
      <w:r>
        <w:rPr>
          <w:rFonts w:eastAsia="Verdana" w:cs="Verdana" w:ascii="IBM Plex Sans" w:hAnsi="IBM Plex Sans"/>
          <w:b w:val="false"/>
          <w:bCs w:val="false"/>
          <w:color w:val="040404"/>
          <w:sz w:val="22"/>
          <w:szCs w:val="22"/>
          <w:u w:val="none"/>
          <w:lang w:eastAsia="es-ES"/>
        </w:rPr>
        <w:t xml:space="preserve">a la entidad mercantil </w:t>
      </w:r>
      <w:r>
        <w:rPr>
          <w:rFonts w:eastAsia="Verdana" w:cs="Verdana" w:ascii="IBM Plex Sans" w:hAnsi="IBM Plex Sans"/>
          <w:b w:val="false"/>
          <w:bCs w:val="false"/>
          <w:color w:val="040404"/>
          <w:sz w:val="22"/>
          <w:szCs w:val="22"/>
          <w:u w:val="none"/>
        </w:rPr>
        <w:t>ICMOVE INGENIERÍA Y PREVENCIÓN, SLP</w:t>
      </w:r>
      <w:r>
        <w:rPr>
          <w:rFonts w:eastAsia="Arial" w:cs="Verdana" w:ascii="IBM Plex Sans" w:hAnsi="IBM Plex Sans"/>
          <w:b w:val="false"/>
          <w:bCs w:val="false"/>
          <w:color w:val="040404"/>
          <w:sz w:val="22"/>
          <w:szCs w:val="22"/>
          <w:u w:val="none"/>
          <w:lang w:val="es-ES_tradnl"/>
        </w:rPr>
        <w:t xml:space="preserve">, siendo el valor del coeficiente K de 0,18 €, </w:t>
      </w:r>
      <w:r>
        <w:rPr>
          <w:rFonts w:eastAsia="Arial" w:cs="Verdana" w:ascii="IBM Plex Sans" w:hAnsi="IBM Plex Sans"/>
          <w:color w:val="040404"/>
          <w:sz w:val="22"/>
          <w:szCs w:val="22"/>
          <w:u w:val="none"/>
          <w:lang w:val="es-ES_tradnl"/>
        </w:rPr>
        <w:t xml:space="preserve">excluido IGIC, y con la mejora establecidas en su oferta de 30 servicios de  </w:t>
      </w:r>
      <w:r>
        <w:rPr>
          <w:rFonts w:eastAsia="Verdana" w:cs="Verdana" w:ascii="IBM Plex Sans" w:hAnsi="IBM Plex Sans"/>
          <w:color w:val="040404"/>
          <w:sz w:val="22"/>
          <w:szCs w:val="22"/>
          <w:u w:val="none"/>
        </w:rPr>
        <w:t xml:space="preserve">coordinación de seguridad y salud gratuitos.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La aceptación de la citada Acta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color w:val="040404"/>
          <w:sz w:val="22"/>
          <w:szCs w:val="22"/>
          <w:u w:val="none"/>
        </w:rPr>
        <w:t xml:space="preserve">Asimismo, se acuerda por esta misma Junta se le conceda a los licitadores propuestos, para que en  el plazo de DIEZ (10) DÍAS HÁBILES, a contar desde el siguiente a aquel en que hubiera recibido el requerimiento, proceda a la constitución de la garantía definitiva por importe del 5% </w:t>
      </w:r>
      <w:r>
        <w:rPr>
          <w:rFonts w:eastAsia="Verdana" w:cs="Verdana" w:ascii="IBM Plex Sans" w:hAnsi="IBM Plex Sans"/>
          <w:b w:val="false"/>
          <w:bCs w:val="false"/>
          <w:color w:val="040404"/>
          <w:sz w:val="22"/>
          <w:szCs w:val="22"/>
          <w:u w:val="none"/>
          <w:lang w:val="es-ES_tradnl"/>
        </w:rPr>
        <w:t xml:space="preserve">del precio final ofertado o del presupuesto base de licitación, según proceda, </w:t>
      </w:r>
      <w:r>
        <w:rPr>
          <w:rFonts w:eastAsia="Verdana" w:cs="Verdana" w:ascii="IBM Plex Sans" w:hAnsi="IBM Plex Sans"/>
          <w:b w:val="false"/>
          <w:bCs w:val="false"/>
          <w:color w:val="040404"/>
          <w:sz w:val="22"/>
          <w:szCs w:val="22"/>
          <w:u w:val="none"/>
        </w:rPr>
        <w:t>IGIC excluido, y la documentación que se indica en la cláusula 19 y siguientes del pliego administrativo.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7.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2018/00001233K. NUEVO NOMBRAMIENTO RESPONSABLE  SUPERVISOR DEL CONTRATO “SERVICIO DE LIMPIEZA VIARIA Y DE PLAYAS DEL MUNICIPIO DE AGÜIMES”.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Atendiendo a lo expuesto, esta Junta de Gobierno Local,</w:t>
      </w:r>
      <w:r>
        <w:rPr>
          <w:rFonts w:eastAsia="Verdana" w:cs="Verdana" w:ascii="IBM Plex Sans" w:hAnsi="IBM Plex Sans"/>
          <w:color w:val="040404"/>
          <w:sz w:val="22"/>
          <w:szCs w:val="22"/>
          <w:u w:val="none"/>
        </w:rPr>
        <w:t xml:space="preserve"> actuando por delegación de Alcaldía de conformidad con el decreto 2019/1563, de fecha 20 de junio, acuerda por unanimidad la aprobación de la precedente propuesta y en base a ello:</w:t>
      </w:r>
    </w:p>
    <w:p>
      <w:pPr>
        <w:pStyle w:val="Normal"/>
        <w:jc w:val="left"/>
        <w:rPr>
          <w:rFonts w:ascii="IBM Plex Sans" w:hAnsi="IBM Plex Sans"/>
          <w:color w:val="040404"/>
          <w:sz w:val="22"/>
          <w:szCs w:val="22"/>
          <w:u w:val="none"/>
        </w:rPr>
      </w:pPr>
      <w:r>
        <w:rPr>
          <w:rFonts w:eastAsia="Verdana" w:cs="Verdana" w:ascii="IBM Plex Sans" w:hAnsi="IBM Plex Sans"/>
          <w:b w:val="false"/>
          <w:bCs w:val="false"/>
          <w:color w:val="040404"/>
          <w:sz w:val="22"/>
          <w:szCs w:val="22"/>
          <w:u w:val="none"/>
        </w:rPr>
        <w:t>1. Nombrar al Ingeniero de Edificación de este Ayuntamiento, don Ángel Luis Pérez Rodríguez, Responsable Supervisor de ejecución del contrato de "SERVICIO DE LIMPIEZA VIARIA Y DE PLAYAS DEL MUNICIPIO DE AGÜIMES,</w:t>
      </w:r>
      <w:r>
        <w:rPr>
          <w:rFonts w:eastAsia="Verdana" w:cs="Verdana" w:ascii="IBM Plex Sans" w:hAnsi="IBM Plex Sans"/>
          <w:color w:val="040404"/>
          <w:sz w:val="22"/>
          <w:szCs w:val="22"/>
          <w:u w:val="none"/>
        </w:rPr>
        <w:t xml:space="preserve"> dado que la Técnico nombrada al efecto ha causado baja en esta Administración.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8. SECRETARIA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2018/00001865D. CONTINUIDAD DEL CONTRATO DEL SERVICIO DE “MANTENIMIENTO, TRATAMIENTO DEL AGUA Y PREVENCIÓN DE LA LEGIONELOSIS DE LAS FUENTES ORNAMENTALES DEL MUNICIPIO DE AGÜIMES”.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 la precedente propuesta sobre la continuidad de la ejecución del contrato de referencia por parte del actual adjudicatario, EICOH EXPLOTACIONES, SL, hasta tanto se lleve a cabo la nueva adjudicación, o como plazo máximo un período de seis (6) meses, en cumplimiento con la cláusula 9.3 del pliego administrativo que lo rige, </w:t>
      </w:r>
      <w:r>
        <w:rPr>
          <w:rFonts w:eastAsia="Verdana"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9. SECRETARIA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2019/00009446H. RESOLUCIÓN DEL CONTRATO DE LA OBRA “CENTRO DE COLECTIVOS LA TABLILLA” POR INCUMPLIMIENTO CULPABLE DEL CONTRATISTA.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dar su aprobación al contenido de la precedente propuesta y, en base a ello: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Proceder a la resolución del contrato por incumplimiento culpable del contratista, y que se indemnice al Ayuntamiento de Agüimes con la cantidad de 147.489,51 euros, todo ello de conformidad con lo establecido en el artículo 113 del Texto Refundido de la Ley de Contratos del Sector Público.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Dicha cantidad se detraerá primero de la fianza depositada, reclamándole el resto al contratista.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10.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2019/00017354D. ACUERDO ADJUDICACIÓN DE LOS LOTES 2, Y 4 DEL CONTRATO “CONCESIÓN DEMANIAL DE LAS CAFETERÍAS DE LOS CENTROS DE MAYORES DE AGÜIMES CASCO, CRUCE DE ARINAGA, ARINAGA Y MONTAÑA LOS VÉLEZ” Y ACUERDO APROBACIÓN MEJOR OFERTA AL LOTE 3.</w:t>
      </w:r>
    </w:p>
    <w:p>
      <w:pPr>
        <w:pStyle w:val="Normal"/>
        <w:jc w:val="left"/>
        <w:rPr>
          <w:rFonts w:ascii="IBM Plex Sans" w:hAnsi="IBM Plex Sans"/>
          <w:color w:val="040404"/>
          <w:sz w:val="22"/>
          <w:szCs w:val="22"/>
          <w:u w:val="none"/>
        </w:rPr>
      </w:pPr>
      <w:r>
        <w:rPr>
          <w:rFonts w:eastAsia="Verdana" w:cs="Verdana" w:ascii="IBM Plex Sans" w:hAnsi="IBM Plex Sans"/>
          <w:bCs/>
          <w:color w:val="040404"/>
          <w:sz w:val="22"/>
          <w:szCs w:val="22"/>
          <w:u w:val="none"/>
        </w:rPr>
        <w:t xml:space="preserve">En sesión de la Junta de Gobierno Local celebrada el día 21 de septiembre de 2020, se eleva a acuerdo la propuesta de mejor oferta para adjudicación de los Lotes 1, 2, 3 y 4 del contrato  </w:t>
      </w:r>
      <w:r>
        <w:rPr>
          <w:rFonts w:eastAsia="Arial" w:cs="Verdana" w:ascii="IBM Plex Sans" w:hAnsi="IBM Plex Sans"/>
          <w:b w:val="false"/>
          <w:bCs w:val="false"/>
          <w:caps/>
          <w:color w:val="040404"/>
          <w:sz w:val="22"/>
          <w:szCs w:val="22"/>
          <w:u w:val="none"/>
          <w:lang w:eastAsia="es-ES"/>
        </w:rPr>
        <w:t>“CONCESIÓN DEMANIAL DE LAS CAFETERÍAS DE LOS CENTROS DE MAYORES DE AGüIMES CASCO, CRUCE DE ARINAGA, ARINAGA Y MONTAÑA LOS VÉLEZ”</w:t>
      </w:r>
      <w:r>
        <w:rPr>
          <w:rFonts w:eastAsia="Verdana" w:cs="Verdana" w:ascii="IBM Plex Sans" w:hAnsi="IBM Plex Sans"/>
          <w:b w:val="false"/>
          <w:bCs w:val="false"/>
          <w:color w:val="040404"/>
          <w:sz w:val="22"/>
          <w:szCs w:val="22"/>
          <w:u w:val="none"/>
        </w:rPr>
        <w:t>,</w:t>
      </w:r>
      <w:r>
        <w:rPr>
          <w:rFonts w:eastAsia="Verdana" w:cs="Verdana" w:ascii="IBM Plex Sans" w:hAnsi="IBM Plex Sans"/>
          <w:color w:val="040404"/>
          <w:sz w:val="22"/>
          <w:szCs w:val="22"/>
          <w:u w:val="none"/>
        </w:rPr>
        <w:t xml:space="preserve"> requiriendo para ello la constitución de fianza y presentación de la documentación correspondiente establecida en el pliego.</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Atendiendo a lo expuesto, e</w:t>
      </w:r>
      <w:r>
        <w:rPr>
          <w:rFonts w:eastAsia="Verdana" w:cs="Verdana" w:ascii="IBM Plex Sans" w:hAnsi="IBM Plex Sans"/>
          <w:color w:val="040404"/>
          <w:sz w:val="22"/>
          <w:szCs w:val="22"/>
          <w:u w:val="none"/>
          <w:lang w:val="es-ES_tradnl"/>
        </w:rPr>
        <w:t xml:space="preserve">sta Junta de Gobierno Local, </w:t>
      </w:r>
      <w:r>
        <w:rPr>
          <w:rFonts w:eastAsia="Verdana" w:cs="Verdana" w:ascii="IBM Plex Sans" w:hAnsi="IBM Plex Sans"/>
          <w:color w:val="040404"/>
          <w:sz w:val="22"/>
          <w:szCs w:val="22"/>
          <w:u w:val="none"/>
        </w:rPr>
        <w:t>actuando por delegación de Alcaldía de conformidad con el decreto 2019/1563, de fecha 20 de junio, acuerda por unanimidad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1. </w:t>
      </w:r>
      <w:r>
        <w:rPr>
          <w:rFonts w:eastAsia="Verdana" w:cs="Verdana" w:ascii="IBM Plex Sans" w:hAnsi="IBM Plex Sans"/>
          <w:b w:val="false"/>
          <w:bCs w:val="false"/>
          <w:color w:val="040404"/>
          <w:sz w:val="22"/>
          <w:szCs w:val="22"/>
          <w:u w:val="none"/>
        </w:rPr>
        <w:t>Adjudicar mediante procedimiento abierto, tramitación ordinaria, los LOTES II y IV del mencionado contrato, como sigue:</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eastAsia="Verdana-Bold" w:cs="Verdana"/>
          <w:b w:val="false"/>
          <w:b w:val="false"/>
          <w:bCs w:val="false"/>
          <w:color w:val="040404"/>
          <w:sz w:val="22"/>
          <w:szCs w:val="22"/>
          <w:u w:val="none"/>
        </w:rPr>
      </w:pPr>
      <w:r>
        <w:rPr>
          <w:rFonts w:eastAsia="Verdana-Bold" w:cs="Verdana" w:ascii="IBM Plex Sans" w:hAnsi="IBM Plex Sans"/>
          <w:b w:val="false"/>
          <w:bCs w:val="false"/>
          <w:color w:val="040404"/>
          <w:sz w:val="22"/>
          <w:szCs w:val="22"/>
          <w:u w:val="none"/>
        </w:rPr>
        <w:t>LOTE II CAFETERÍA CENTRO DE MAYORES DEL CRUCE DE ARINAGA, a doña NOELIA DEL PINO MEDINA DELGADO con NIF ****7.834* por un canon anual de MIL DOSCIENTOS (1.200 €) EUROS, más las mejoras establecidas en su oferta.</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color w:val="040404"/>
          <w:sz w:val="22"/>
          <w:szCs w:val="22"/>
          <w:u w:val="none"/>
        </w:rPr>
      </w:pPr>
      <w:r>
        <w:rPr>
          <w:rFonts w:eastAsia="Verdana-Bold" w:cs="Verdana" w:ascii="IBM Plex Sans" w:hAnsi="IBM Plex Sans"/>
          <w:b w:val="false"/>
          <w:bCs w:val="false"/>
          <w:color w:val="040404"/>
          <w:sz w:val="22"/>
          <w:szCs w:val="22"/>
          <w:u w:val="none"/>
          <w:lang w:val="es-ES"/>
        </w:rPr>
        <w:t>LOTE IV CAFETERÍA CENTRO DE MAYORES DE MONTAÑA LOS VÉLEZ,</w:t>
      </w:r>
      <w:r>
        <w:rPr>
          <w:rFonts w:eastAsia="Verdana-Bold" w:cs="Verdana" w:ascii="IBM Plex Sans" w:hAnsi="IBM Plex Sans"/>
          <w:b/>
          <w:bCs/>
          <w:color w:val="040404"/>
          <w:sz w:val="22"/>
          <w:szCs w:val="22"/>
          <w:u w:val="none"/>
          <w:lang w:val="es-ES"/>
        </w:rPr>
        <w:t xml:space="preserve"> </w:t>
      </w:r>
      <w:r>
        <w:rPr>
          <w:rFonts w:eastAsia="Verdana-Bold" w:cs="Verdana" w:ascii="IBM Plex Sans" w:hAnsi="IBM Plex Sans"/>
          <w:bCs/>
          <w:color w:val="040404"/>
          <w:sz w:val="22"/>
          <w:szCs w:val="22"/>
          <w:u w:val="none"/>
          <w:lang w:val="es-ES"/>
        </w:rPr>
        <w:t>a doña JOSEFA RAMÍREZ GARCÍA con NIF ****8.517* por un canon anual de NOVENTA Y SEIS (96€) EUROS, más las mejoras establecidas en su oferta.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 la Técnico del Área de Mayores de este Ayuntamiento, doña Guacimara Artiles Trujillo, Responsable Supervisora de ejecución de los citados contrato.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2. Dado que la licitadora propuesta como mejor oferta presentada al Lote III: Cafetería Centro de Mayores de Playa de Arinaga, doña Noelia del Pino Medina Delgado, </w:t>
      </w:r>
      <w:r>
        <w:rPr>
          <w:rFonts w:eastAsia="Verdana" w:cs="Verdana" w:ascii="IBM Plex Sans" w:hAnsi="IBM Plex Sans"/>
          <w:b w:val="false"/>
          <w:bCs w:val="false"/>
          <w:color w:val="040404"/>
          <w:sz w:val="22"/>
          <w:szCs w:val="22"/>
          <w:u w:val="none"/>
        </w:rPr>
        <w:t>no presenta la documentación requerida el efecto, desde el Área de Contratación, atendiendo a lo establecido en la cláusula 15.1 del Pliego de Cláusulas Administrativas Particulares, manifiesta que la siguiente mejor oferta al LOTE III del contrato de referencia, y según Acta de la Mesa de Contratación elevada a acuerdo de la Junta de Gobierno Local del 21 de septiembre de 2020, es la siguiente:</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eastAsia="Verdana-Bold" w:cs="Verdana" w:ascii="IBM Plex Sans" w:hAnsi="IBM Plex Sans"/>
          <w:b w:val="false"/>
          <w:bCs w:val="false"/>
          <w:color w:val="040404"/>
          <w:sz w:val="22"/>
          <w:szCs w:val="22"/>
          <w:u w:val="none"/>
          <w:lang w:val="es-ES"/>
        </w:rPr>
        <w:t xml:space="preserve">LOTE III CAFETERÍA CENTRO DE MAYORES DE PLAYA DE ARINAGA, la presentada por </w:t>
      </w:r>
      <w:r>
        <w:rPr>
          <w:rFonts w:eastAsia="Verdana" w:cs="Verdana" w:ascii="IBM Plex Sans" w:hAnsi="IBM Plex Sans"/>
          <w:b w:val="false"/>
          <w:bCs w:val="false"/>
          <w:color w:val="040404"/>
          <w:sz w:val="22"/>
          <w:szCs w:val="22"/>
          <w:u w:val="none"/>
          <w:lang w:val="es-ES"/>
        </w:rPr>
        <w:t>doña ARISLEIDA DEL PINO AFONSO ESPINOSA, con DNI ****9.299*, por un canon anual de NOVECIENTOS (900€) EUROS, más las mejoras establecidas en su oferta.</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color w:val="040404"/>
          <w:sz w:val="22"/>
          <w:szCs w:val="22"/>
          <w:u w:val="none"/>
        </w:rPr>
        <w:t xml:space="preserve">Por lo que se eleva a acuerdo la aprobación de dicha oferta, concediendo a la licitadora, para que en  el plazo de DIEZ (10) DÍAS HÁBILES, a contar desde el siguiente a aquel en el que hubiera recibido el requerimiento, proceda a la constitución de la garantía definitiva por importe del 3% </w:t>
      </w:r>
      <w:r>
        <w:rPr>
          <w:rFonts w:eastAsia="Verdana" w:cs="Verdana" w:ascii="IBM Plex Sans" w:hAnsi="IBM Plex Sans"/>
          <w:b w:val="false"/>
          <w:bCs w:val="false"/>
          <w:color w:val="040404"/>
          <w:sz w:val="22"/>
          <w:szCs w:val="22"/>
          <w:u w:val="none"/>
          <w:lang w:val="es-ES_tradnl"/>
        </w:rPr>
        <w:t>del valor de dominio público ocupado, y en su caso del presupuesto de las obras que hayan de ejecutar, siendo el importe de garantía como sigue: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LOTE III Cafetería en el Centro de Mayores de Arinaga, ciento cuarenta y siete con treinta y seis (147,36€)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en dicho plazo, deberá presentar  la documentación que se indica en el apartado 15.2 y siguiente, del pliego administrativo.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11.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2020/00004635D. CONVALIDAR EL ACTA DE LA MESA DEL DÍA 7 DE AGOSTO DE 2020 RESPECTO A LA APROBACIÓN DE LA MEJOR OFERTA PARA LA ADJUDICACIÓN DEL CONTRATO DE “CONSTRUCCIÓN PROVISIONAL DE MÓDULOS PREFABRICADOS PARA COMEDOR ESCOLAR EN EL CEIP 20 DE ENERO DE ARINAGA”, ASÍ COMO LOS ACTOS POSTERIORES REALIZADOS.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dar su aprobación al contenido del Acta de la Mesa de Contratación que precede y a la propuesta emitida al efecto, y en base a ello:</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1. </w:t>
      </w:r>
      <w:r>
        <w:rPr>
          <w:rFonts w:eastAsia="Verdana" w:cs="Verdana" w:ascii="IBM Plex Sans" w:hAnsi="IBM Plex Sans"/>
          <w:b w:val="false"/>
          <w:bCs w:val="false"/>
          <w:color w:val="040404"/>
          <w:sz w:val="22"/>
          <w:szCs w:val="22"/>
          <w:u w:val="none"/>
        </w:rPr>
        <w:t xml:space="preserve">Convalidar el Acta de la Mesa celebrada el día 7 de agosto de 2020, que fue elevada a la Junta de Gobierno Local del día 7 de septiembre de 2020, </w:t>
      </w:r>
      <w:r>
        <w:rPr>
          <w:rFonts w:eastAsia="Verdana" w:cs="Verdana" w:ascii="IBM Plex Sans" w:hAnsi="IBM Plex Sans"/>
          <w:b w:val="false"/>
          <w:bCs w:val="false"/>
          <w:color w:val="040404"/>
          <w:sz w:val="22"/>
          <w:szCs w:val="22"/>
          <w:u w:val="none"/>
          <w:lang w:eastAsia="es-ES"/>
        </w:rPr>
        <w:t>así como todos los actos posteriores realizados, de conformidad con lo dispuesto en el artículo 52 de la ley 39/2015, de 1 de octubre, del Procedimiento Administrativo Común de las Administraciones Públicas.</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t xml:space="preserve"> </w:t>
      </w:r>
    </w:p>
    <w:p>
      <w:pPr>
        <w:pStyle w:val="Normal"/>
        <w:jc w:val="left"/>
        <w:rPr>
          <w:rFonts w:ascii="IBM Plex Sans" w:hAnsi="IBM Plex Sans"/>
          <w:color w:val="040404"/>
          <w:sz w:val="22"/>
          <w:szCs w:val="22"/>
          <w:u w:val="none"/>
        </w:rPr>
      </w:pPr>
      <w:r>
        <w:rPr>
          <w:rFonts w:eastAsia="Verdana" w:cs="Verdana" w:ascii="IBM Plex Sans" w:hAnsi="IBM Plex Sans"/>
          <w:b w:val="false"/>
          <w:bCs w:val="false"/>
          <w:color w:val="040404"/>
          <w:sz w:val="22"/>
          <w:szCs w:val="22"/>
          <w:u w:val="none"/>
        </w:rPr>
        <w:t xml:space="preserve">Quedando aprobada como Mejor oferta para la adjudicación del contrato de la obra "CONSTRUCCIÓN PROVISIONAL DE MÓDULOS PREFABRICADOS PARA COMEDOR ESCOLAR EN EL CEIP 20 DE ENERO DE ARINAGA", la presentada por la empresa BERNEGAL INFRAESTRUCTURAS, SL, con CIF ****8433*, por importe de 102.042,11 euros, más 7.142,95 euros de IGIC, y la mejora ofertada, </w:t>
      </w:r>
      <w:r>
        <w:rPr>
          <w:rFonts w:eastAsia="Verdana" w:cs="Verdana" w:ascii="IBM Plex Sans" w:hAnsi="IBM Plex Sans"/>
          <w:color w:val="040404"/>
          <w:sz w:val="22"/>
          <w:szCs w:val="22"/>
          <w:u w:val="none"/>
        </w:rPr>
        <w:t>mediante el acuerdo de la Junta de Gobierno Local en sesión celebrada el 7 de septiembre de 2020.</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Arial">
    <w:charset w:val="00"/>
    <w:family w:val="roman"/>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7">
          <wp:simplePos x="0" y="0"/>
          <wp:positionH relativeFrom="column">
            <wp:posOffset>-1078230</wp:posOffset>
          </wp:positionH>
          <wp:positionV relativeFrom="paragraph">
            <wp:posOffset>-440690</wp:posOffset>
          </wp:positionV>
          <wp:extent cx="7539355" cy="1067054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38" t="-27" r="-38" b="-27"/>
                  <a:stretch>
                    <a:fillRect/>
                  </a:stretch>
                </pic:blipFill>
                <pic:spPr bwMode="auto">
                  <a:xfrm>
                    <a:off x="0" y="0"/>
                    <a:ext cx="7539355" cy="106705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b/>
      <w:bCs/>
    </w:rPr>
  </w:style>
  <w:style w:type="character" w:styleId="TextocomentarioCar">
    <w:name w:val="Texto comentario Car"/>
    <w:qFormat/>
    <w:rPr>
      <w:rFonts w:ascii="Times New Roman" w:hAnsi="Times New Roman" w:eastAsia="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lang w:val="en-US" w:eastAsia="en-US"/>
    </w:rPr>
  </w:style>
  <w:style w:type="character" w:styleId="HTMLconformatoprevioCar1">
    <w:name w:val="HTML con formato previo Car1"/>
    <w:qFormat/>
    <w:rPr>
      <w:rFonts w:ascii="Courier New" w:hAnsi="Courier New" w:eastAsia="Courier New"/>
      <w:lang w:val="en-US" w:eastAsia="en-US"/>
    </w:rPr>
  </w:style>
  <w:style w:type="character" w:styleId="TextodegloboCar1">
    <w:name w:val="Texto de globo Car1"/>
    <w:qFormat/>
    <w:rPr>
      <w:rFonts w:ascii="Tahoma" w:hAnsi="Tahoma" w:eastAsia="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sz w:val="24"/>
      <w:szCs w:val="24"/>
    </w:rPr>
  </w:style>
  <w:style w:type="character" w:styleId="HTMLconformatoprevioCar">
    <w:name w:val="HTML con formato previo Car"/>
    <w:qFormat/>
    <w:rPr>
      <w:rFonts w:ascii="Courier New" w:hAnsi="Courier New" w:eastAsia="Courier New"/>
    </w:rPr>
  </w:style>
  <w:style w:type="character" w:styleId="TextodegloboCar">
    <w:name w:val="Texto de globo Car"/>
    <w:qFormat/>
    <w:rPr>
      <w:rFonts w:ascii="Tahoma" w:hAnsi="Tahoma" w:eastAsia="Tahoma"/>
      <w:sz w:val="16"/>
      <w:szCs w:val="16"/>
    </w:rPr>
  </w:style>
  <w:style w:type="character" w:styleId="Ttulo5Car1">
    <w:name w:val="Título 5 Car1"/>
    <w:qFormat/>
    <w:rPr>
      <w:rFonts w:ascii="Cambria" w:hAnsi="Cambria" w:eastAsia="Cambria"/>
      <w:b w:val="false"/>
      <w:bCs w:val="false"/>
      <w:iCs w:val="false"/>
      <w:sz w:val="28"/>
      <w:szCs w:val="26"/>
      <w:lang w:val="es-ES" w:eastAsia="ar-SA"/>
    </w:rPr>
  </w:style>
  <w:style w:type="character" w:styleId="Ttulo4Car1">
    <w:name w:val="Título 4 Car1"/>
    <w:qFormat/>
    <w:rPr>
      <w:rFonts w:ascii="Cambria" w:hAnsi="Cambria" w:eastAsia="Cambria"/>
      <w:b w:val="false"/>
      <w:bCs w:val="false"/>
      <w:iCs w:val="false"/>
      <w:sz w:val="32"/>
      <w:szCs w:val="28"/>
      <w:lang w:val="es-ES" w:eastAsia="ar-SA"/>
    </w:rPr>
  </w:style>
  <w:style w:type="character" w:styleId="Ttulo2Car1">
    <w:name w:val="Título 2 Car1"/>
    <w:qFormat/>
    <w:rPr>
      <w:rFonts w:ascii="Tele-GroteskNor" w:hAnsi="Tele-GroteskNor" w:eastAsia="Arial"/>
      <w:b/>
      <w:bCs/>
      <w:iCs/>
      <w:color w:val="E20074"/>
      <w:kern w:val="2"/>
      <w:sz w:val="40"/>
      <w:szCs w:val="28"/>
      <w:lang w:val="es-ES" w:eastAsia="ar-SA"/>
    </w:rPr>
  </w:style>
  <w:style w:type="character" w:styleId="Ttulo1Car1">
    <w:name w:val="Título 1 Car1"/>
    <w:qFormat/>
    <w:rPr>
      <w:rFonts w:ascii="Tele-GroteskNor" w:hAnsi="Tele-GroteskNor" w:eastAsia="Arial"/>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b/>
      <w:bCs/>
      <w:sz w:val="26"/>
      <w:szCs w:val="26"/>
      <w:lang w:val="en-US" w:eastAsia="en-US"/>
    </w:rPr>
  </w:style>
  <w:style w:type="character" w:styleId="Ttulo2Car">
    <w:name w:val="Título 2 Car"/>
    <w:qFormat/>
    <w:rPr>
      <w:rFonts w:ascii="Cambria" w:hAnsi="Cambria" w:eastAsia="Cambria"/>
      <w:b/>
      <w:bCs/>
      <w:i/>
      <w:iCs/>
      <w:sz w:val="28"/>
      <w:szCs w:val="28"/>
      <w:lang w:val="en-US" w:eastAsia="en-US"/>
    </w:rPr>
  </w:style>
  <w:style w:type="character" w:styleId="Labelnormal">
    <w:name w:val="labelnormal"/>
    <w:qFormat/>
    <w:rPr>
      <w:rFonts w:ascii="Verdana" w:hAnsi="Verdana" w:eastAsia="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b/>
      <w:bCs/>
      <w:sz w:val="32"/>
      <w:szCs w:val="32"/>
    </w:rPr>
  </w:style>
  <w:style w:type="character" w:styleId="TtuloCar2">
    <w:name w:val="Título Car2"/>
    <w:qFormat/>
    <w:rPr>
      <w:rFonts w:ascii="Cambria" w:hAnsi="Cambria" w:eastAsia="Cambria"/>
      <w:b/>
      <w:bCs/>
      <w:kern w:val="2"/>
      <w:sz w:val="32"/>
      <w:szCs w:val="32"/>
    </w:rPr>
  </w:style>
  <w:style w:type="character" w:styleId="Sangra2detindependienteCar">
    <w:name w:val="Sangría 2 de t. independiente Car"/>
    <w:qFormat/>
    <w:rPr>
      <w:rFonts w:ascii="Calibri" w:hAnsi="Calibri" w:eastAsia="Times New Roman"/>
    </w:rPr>
  </w:style>
  <w:style w:type="character" w:styleId="Textoindependiente2Car">
    <w:name w:val="Texto independiente 2 Car"/>
    <w:qFormat/>
    <w:rPr>
      <w:rFonts w:ascii="Times New Roman" w:hAnsi="Times New Roman" w:eastAsia="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sz w:val="20"/>
      <w:szCs w:val="20"/>
      <w:lang w:val="es-ES"/>
    </w:rPr>
  </w:style>
  <w:style w:type="character" w:styleId="WW8Num34z4">
    <w:name w:val="WW8Num34z4"/>
    <w:qFormat/>
    <w:rPr>
      <w:rFonts w:ascii="Courier New" w:hAnsi="Courier New" w:eastAsia="Courier New"/>
    </w:rPr>
  </w:style>
  <w:style w:type="character" w:styleId="WW8Num34z1">
    <w:name w:val="WW8Num34z1"/>
    <w:qFormat/>
    <w:rPr>
      <w:rFonts w:ascii="Verdana" w:hAnsi="Verdana" w:eastAsia="Calibri"/>
    </w:rPr>
  </w:style>
  <w:style w:type="character" w:styleId="WW8Num34z0">
    <w:name w:val="WW8Num34z0"/>
    <w:qFormat/>
    <w:rPr>
      <w:rFonts w:ascii="Verdana" w:hAnsi="Verdana" w:eastAsia="Verdana"/>
      <w:sz w:val="20"/>
      <w:szCs w:val="20"/>
      <w:lang w:val="es-ES"/>
    </w:rPr>
  </w:style>
  <w:style w:type="character" w:styleId="WW8Num33z1">
    <w:name w:val="WW8Num33z1"/>
    <w:qFormat/>
    <w:rPr>
      <w:rFonts w:ascii="Courier New" w:hAnsi="Courier New" w:eastAsia="Courier New"/>
    </w:rPr>
  </w:style>
  <w:style w:type="character" w:styleId="WW8Num33z0">
    <w:name w:val="WW8Num33z0"/>
    <w:qFormat/>
    <w:rPr>
      <w:rFonts w:ascii="Verdana" w:hAnsi="Verdana" w:eastAsia="Arial"/>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rPr>
  </w:style>
  <w:style w:type="character" w:styleId="WW8Num31z0">
    <w:name w:val="WW8Num31z0"/>
    <w:qFormat/>
    <w:rPr>
      <w:rFonts w:ascii="Verdana" w:hAnsi="Verdana" w:eastAsia="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b/>
      <w:bCs/>
      <w:sz w:val="20"/>
      <w:szCs w:val="20"/>
      <w:lang w:val="es-ES"/>
    </w:rPr>
  </w:style>
  <w:style w:type="character" w:styleId="WW8Num28z4">
    <w:name w:val="WW8Num28z4"/>
    <w:qFormat/>
    <w:rPr>
      <w:rFonts w:ascii="Courier New" w:hAnsi="Courier New" w:eastAsia="Courier New"/>
    </w:rPr>
  </w:style>
  <w:style w:type="character" w:styleId="WW8Num28z1">
    <w:name w:val="WW8Num28z1"/>
    <w:qFormat/>
    <w:rPr>
      <w:rFonts w:ascii="Verdana" w:hAnsi="Verdana" w:eastAsia="Calibri"/>
    </w:rPr>
  </w:style>
  <w:style w:type="character" w:styleId="WW8Num27z1">
    <w:name w:val="WW8Num27z1"/>
    <w:qFormat/>
    <w:rPr>
      <w:rFonts w:ascii="Courier New" w:hAnsi="Courier New" w:eastAsia="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rPr>
  </w:style>
  <w:style w:type="character" w:styleId="WW8Num25z0">
    <w:name w:val="WW8Num25z0"/>
    <w:qFormat/>
    <w:rPr>
      <w:rFonts w:ascii="Verdana" w:hAnsi="Verdana" w:eastAsia="Verdana"/>
      <w:sz w:val="20"/>
      <w:szCs w:val="20"/>
      <w:lang w:val="es-ES"/>
    </w:rPr>
  </w:style>
  <w:style w:type="character" w:styleId="WW8Num24z1">
    <w:name w:val="WW8Num24z1"/>
    <w:qFormat/>
    <w:rPr>
      <w:rFonts w:ascii="Courier New" w:hAnsi="Courier New" w:eastAsia="Courier New"/>
    </w:rPr>
  </w:style>
  <w:style w:type="character" w:styleId="WW8Num24z0">
    <w:name w:val="WW8Num24z0"/>
    <w:qFormat/>
    <w:rPr>
      <w:rFonts w:ascii="Verdana" w:hAnsi="Verdana" w:eastAsia="Arial"/>
    </w:rPr>
  </w:style>
  <w:style w:type="character" w:styleId="WW8Num23z1">
    <w:name w:val="WW8Num23z1"/>
    <w:qFormat/>
    <w:rPr>
      <w:rFonts w:ascii="Courier New" w:hAnsi="Courier New" w:eastAsia="Courier New"/>
    </w:rPr>
  </w:style>
  <w:style w:type="character" w:styleId="WW8Num23z0">
    <w:name w:val="WW8Num23z0"/>
    <w:qFormat/>
    <w:rPr>
      <w:rFonts w:ascii="Verdana" w:hAnsi="Verdana" w:eastAsia="Verdana"/>
    </w:rPr>
  </w:style>
  <w:style w:type="character" w:styleId="WW8Num22z1">
    <w:name w:val="WW8Num22z1"/>
    <w:qFormat/>
    <w:rPr>
      <w:rFonts w:ascii="Courier New" w:hAnsi="Courier New" w:eastAsia="Courier New"/>
    </w:rPr>
  </w:style>
  <w:style w:type="character" w:styleId="WW8Num21z1">
    <w:name w:val="WW8Num21z1"/>
    <w:qFormat/>
    <w:rPr>
      <w:rFonts w:ascii="Courier New" w:hAnsi="Courier New" w:eastAsia="Courier New"/>
    </w:rPr>
  </w:style>
  <w:style w:type="character" w:styleId="WW8Num21z0">
    <w:name w:val="WW8Num21z0"/>
    <w:qFormat/>
    <w:rPr>
      <w:rFonts w:ascii="Verdana" w:hAnsi="Verdana" w:eastAsia="Verdana"/>
      <w:sz w:val="20"/>
      <w:szCs w:val="20"/>
      <w:lang w:eastAsia="es-ES"/>
    </w:rPr>
  </w:style>
  <w:style w:type="character" w:styleId="WW8Num20z1">
    <w:name w:val="WW8Num20z1"/>
    <w:qFormat/>
    <w:rPr>
      <w:rFonts w:ascii="Courier New" w:hAnsi="Courier New" w:eastAsia="Courier New"/>
    </w:rPr>
  </w:style>
  <w:style w:type="character" w:styleId="WW8Num20z0">
    <w:name w:val="WW8Num20z0"/>
    <w:qFormat/>
    <w:rPr>
      <w:rFonts w:ascii="Verdana" w:hAnsi="Verdana" w:eastAsia="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rPr>
  </w:style>
  <w:style w:type="character" w:styleId="WW8Num15z0">
    <w:name w:val="WW8Num15z0"/>
    <w:qFormat/>
    <w:rPr>
      <w:rFonts w:ascii="Verdana" w:hAnsi="Verdana" w:eastAsia="Verdana"/>
      <w:spacing w:val="-6"/>
      <w:sz w:val="20"/>
      <w:szCs w:val="20"/>
      <w:lang w:val="es-ES"/>
    </w:rPr>
  </w:style>
  <w:style w:type="character" w:styleId="WW8Num11z0">
    <w:name w:val="WW8Num11z0"/>
    <w:qFormat/>
    <w:rPr>
      <w:rFonts w:ascii="Verdana" w:hAnsi="Verdana" w:eastAsia="Verdana"/>
      <w:sz w:val="20"/>
      <w:szCs w:val="20"/>
      <w:lang w:val="es-ES"/>
    </w:rPr>
  </w:style>
  <w:style w:type="character" w:styleId="WW8Num3z0">
    <w:name w:val="WW8Num3z0"/>
    <w:qFormat/>
    <w:rPr>
      <w:rFonts w:ascii="Verdana" w:hAnsi="Verdana" w:eastAsia="Verdana"/>
      <w:lang w:eastAsia="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
      <w:color w:val="000000"/>
      <w:kern w:val="2"/>
      <w:sz w:val="24"/>
      <w:szCs w:val="24"/>
      <w:lang w:val="es-ES" w:eastAsia="zh-CN" w:bidi="hi-IN"/>
    </w:rPr>
  </w:style>
  <w:style w:type="paragraph" w:styleId="Asuntodelcomentario">
    <w:name w:val="Asunto del comentario"/>
    <w:qFormat/>
    <w:pPr>
      <w:widowControl w:val="false"/>
      <w:kinsoku w:val="true"/>
      <w:overflowPunct w:val="true"/>
      <w:autoSpaceDE w:val="true"/>
      <w:bidi w:val="0"/>
      <w:spacing w:lineRule="exact" w:line="240" w:before="0" w:after="0"/>
    </w:pPr>
    <w:rPr>
      <w:rFonts w:ascii="Times New Roman" w:hAnsi="Times New Roman" w:eastAsia="Times New Roman" w:cs="Arial"/>
      <w:b/>
      <w:bCs/>
      <w:color w:val="auto"/>
      <w:sz w:val="20"/>
      <w:szCs w:val="20"/>
      <w:lang w:eastAsia="ar-SA" w:val="es-ES" w:bidi="hi-IN"/>
    </w:rPr>
  </w:style>
  <w:style w:type="paragraph" w:styleId="Textocomentario">
    <w:name w:val="Texto comentario"/>
    <w:basedOn w:val="Normal"/>
    <w:qFormat/>
    <w:pPr>
      <w:spacing w:lineRule="exact" w:line="240" w:before="0" w:after="0"/>
    </w:pPr>
    <w:rPr>
      <w:rFonts w:ascii="Times New Roman" w:hAnsi="Times New Roman" w:eastAsia="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
      <w:color w:val="auto"/>
      <w:kern w:val="2"/>
      <w:sz w:val="24"/>
      <w:szCs w:val="24"/>
      <w:lang w:val="es-ES" w:eastAsia="zh-CN" w:bidi="hi-IN"/>
    </w:rPr>
  </w:style>
  <w:style w:type="paragraph" w:styleId="Encabezado0">
    <w:name w:val="Encabezado_0"/>
    <w:qFormat/>
    <w:pPr>
      <w:widowControl w:val="fals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eastAsia="ar-SA" w:val="es-ES" w:bidi="hi-IN"/>
    </w:rPr>
  </w:style>
  <w:style w:type="paragraph" w:styleId="TtulodeTDC">
    <w:name w:val="Título de TDC"/>
    <w:basedOn w:val="Ttulo1"/>
    <w:qFormat/>
    <w:pPr>
      <w:keepNext w:val="true"/>
      <w:numPr>
        <w:ilvl w:val="0"/>
        <w:numId w:val="0"/>
      </w:numPr>
      <w:spacing w:lineRule="exact" w:line="240" w:before="240" w:after="60"/>
    </w:pPr>
    <w:rPr>
      <w:rFonts w:ascii="Cambria" w:hAnsi="Cambria" w:eastAsia="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szCs w:val="20"/>
      <w:lang w:val="es-ES_tradnl" w:eastAsia="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28</TotalTime>
  <Application>LibreOffice/6.4.3.2$Windows_X86_64 LibreOffice_project/747b5d0ebf89f41c860ec2a39efd7cb15b54f2d8</Application>
  <Pages>6</Pages>
  <Words>2234</Words>
  <CharactersWithSpaces>14161</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2021-03-10T20:31:57Z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