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Verdana" w:cs="Verdana" w:ascii="Roboto Slab" w:hAnsi="Roboto Slab"/>
          <w:b/>
          <w:bCs/>
          <w:color w:val="2A265A"/>
          <w:sz w:val="36"/>
          <w:szCs w:val="36"/>
          <w:u w:val="none"/>
        </w:rPr>
        <w:t>ACUERDOS</w:t>
      </w:r>
      <w:r>
        <w:rPr>
          <w:rFonts w:eastAsia="Verdana" w:cs="Verdana" w:ascii="Roboto Slab" w:hAnsi="Roboto Slab"/>
          <w:b/>
          <w:bCs/>
          <w:color w:val="2A265A"/>
          <w:sz w:val="36"/>
          <w:szCs w:val="36"/>
          <w:u w:val="none"/>
        </w:rPr>
        <w:t xml:space="preserve"> JUNT</w:t>
      </w:r>
      <w:r>
        <w:rPr>
          <w:rFonts w:eastAsia="Verdana" w:cs="Verdana" w:ascii="Roboto Slab" w:hAnsi="Roboto Slab"/>
          <w:b/>
          <w:bCs/>
          <w:color w:val="2A265A"/>
          <w:sz w:val="36"/>
          <w:szCs w:val="36"/>
          <w:u w:val="none"/>
          <w:lang w:eastAsia="ar-SA"/>
        </w:rPr>
        <w:t>A</w:t>
      </w:r>
      <w:r>
        <w:rPr>
          <w:rFonts w:eastAsia="Verdana" w:cs="Verdana" w:ascii="Roboto Slab" w:hAnsi="Roboto Slab"/>
          <w:b/>
          <w:bCs/>
          <w:color w:val="2A265A"/>
          <w:sz w:val="36"/>
          <w:szCs w:val="36"/>
          <w:u w:val="none"/>
        </w:rPr>
        <w:t xml:space="preserve">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DIECISÉIS DE NOVIEMBRE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 NÚMERO: 2020/000012381T. LECTURA Y APROBACIÓN SI PROCEDE, DEL BORRADOR DEL ACTA DE LA SESIÓN CELEBRADA EL NUEVE DE NOVIEMBRE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nueve de noviembre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2020/00011210W. APROBACIÓN DEL PROYECTO “AMPLIACIÓN RED DISTRIBUCIÓN DE AGUA ZONA “LOS PILARES”.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Verdana" w:ascii="IBM Plex Sans" w:hAnsi="IBM Plex Sans"/>
          <w:b w:val="false"/>
          <w:bCs w:val="false"/>
          <w:caps/>
          <w:color w:val="040404"/>
          <w:sz w:val="22"/>
          <w:szCs w:val="22"/>
          <w:u w:val="none"/>
          <w:lang w:eastAsia="es-ES"/>
        </w:rPr>
        <w:t>“AMPLIACIÓN RED DISTRIBUCIÓN DE AGUA ZONA ‘LOS PILARES’ ”</w:t>
      </w:r>
      <w:r>
        <w:rPr>
          <w:rFonts w:eastAsia="Verdana" w:cs="Verdana" w:ascii="IBM Plex Sans" w:hAnsi="IBM Plex Sans"/>
          <w:b w:val="false"/>
          <w:bCs w:val="false"/>
          <w:color w:val="040404"/>
          <w:sz w:val="22"/>
          <w:szCs w:val="22"/>
          <w:u w:val="none"/>
        </w:rPr>
        <w:t xml:space="preserve">,  redactado  por el Ingeniero Técnico Industrial de este Ayuntamiento, don Yone F. Díaz Pérez, y supervisado por el Ingeniero de Edificación Municipal, don Ángel Luis Pérez Rodríguez, con un presupuesto total de ejecución por contrata </w:t>
      </w:r>
      <w:r>
        <w:rPr>
          <w:rFonts w:eastAsia="Courier New" w:cs="Verdana" w:ascii="IBM Plex Sans" w:hAnsi="IBM Plex Sans"/>
          <w:b w:val="false"/>
          <w:bCs w:val="false"/>
          <w:color w:val="040404"/>
          <w:sz w:val="22"/>
          <w:szCs w:val="22"/>
          <w:u w:val="none"/>
          <w:lang w:eastAsia="es-ES"/>
        </w:rPr>
        <w:t>69.003,23</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OFICINA TÉCNICA-OBRAS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2020/00012589R. APROBACIÓN DEL PROYECTO “MEJORAS ZONAS DE ESTANCIA PARQUE LA BANDA”.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Verdana" w:ascii="IBM Plex Sans" w:hAnsi="IBM Plex Sans"/>
          <w:b w:val="false"/>
          <w:bCs w:val="false"/>
          <w:caps/>
          <w:color w:val="040404"/>
          <w:sz w:val="22"/>
          <w:szCs w:val="22"/>
          <w:u w:val="none"/>
          <w:lang w:eastAsia="es-ES"/>
        </w:rPr>
        <w:t>“MEJORAS ZONAS DE ESTANCIA PARQUE LA BANDA”</w:t>
      </w:r>
      <w:r>
        <w:rPr>
          <w:rFonts w:eastAsia="Verdana" w:cs="Verdana" w:ascii="IBM Plex Sans" w:hAnsi="IBM Plex Sans"/>
          <w:b w:val="false"/>
          <w:bCs w:val="false"/>
          <w:color w:val="040404"/>
          <w:sz w:val="22"/>
          <w:szCs w:val="22"/>
          <w:u w:val="none"/>
        </w:rPr>
        <w:t xml:space="preserve">,  redactado  por el Ingeniero de Edificación de este Ayuntamiento, don Ángel Pérez Rodríguez, y supervisado por el Arquitecto Técnico Municipal, don Francisco S. Estévez Rivero, con un presupuesto total de ejecución por contrata </w:t>
      </w:r>
      <w:r>
        <w:rPr>
          <w:rFonts w:eastAsia="Courier New" w:cs="Verdana" w:ascii="IBM Plex Sans" w:hAnsi="IBM Plex Sans"/>
          <w:b w:val="false"/>
          <w:bCs w:val="false"/>
          <w:color w:val="040404"/>
          <w:sz w:val="22"/>
          <w:szCs w:val="22"/>
          <w:u w:val="none"/>
          <w:lang w:eastAsia="es-ES"/>
        </w:rPr>
        <w:t>50.000,00</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euros</w:t>
      </w:r>
      <w:r>
        <w:rPr>
          <w:rFonts w:eastAsia="Verdana" w:cs="Verdana" w:ascii="IBM Plex Sans" w:hAnsi="IBM Plex Sans"/>
          <w:color w:val="040404"/>
          <w:sz w:val="22"/>
          <w:szCs w:val="22"/>
          <w:u w:val="none"/>
        </w:rPr>
        <w:t xml:space="preserve">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RECOGIDA DE BASURAS Y OTROS.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2020/00012290R. NOMBRAMIENTO DE TÉCNICOS/AS SUPERVISORES EN ENCOMIENDAS DE LA MANCOMUNIDAD Y ECOAGA.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w:t>
      </w:r>
      <w:r>
        <w:rPr>
          <w:rFonts w:eastAsia="Verdana" w:cs="Verdana" w:ascii="IBM Plex Sans" w:hAnsi="IBM Plex Sans"/>
          <w:b w:val="false"/>
          <w:bCs w:val="false"/>
          <w:color w:val="040404"/>
          <w:sz w:val="22"/>
          <w:szCs w:val="22"/>
          <w:u w:val="none"/>
        </w:rPr>
        <w:t>aprobación de los nuevos nombramientos de los Técnicos/as Supervisores de los servicios de encomiendas de la Mancomunidad y la Entidad de Conservación del Polígono Industrial de Arinaga (ECOAGA),</w:t>
      </w:r>
      <w:r>
        <w:rPr>
          <w:rFonts w:eastAsia="Verdana" w:cs="Verdana" w:ascii="IBM Plex Sans" w:hAnsi="IBM Plex Sans"/>
          <w:color w:val="040404"/>
          <w:sz w:val="22"/>
          <w:szCs w:val="22"/>
          <w:u w:val="none"/>
        </w:rPr>
        <w:t xml:space="preserve"> que modifica el acuerdo adoptado en la Junta de Gobierno Local de 25 de febrero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2020/0004600C. INICIO DE EXPEDIENTE PARA LA CONTRATACIÓN DEL SERVICIO INTEGRAL DEPORTIVO.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Visto el expediente de referencia, que está integrado entre otros por, el acuerdo de inicio aprobado en Junta de Gobierno Local de fecha 13 de julio de 2020, así como, informe de existencia de crédito, pliegos administrativo y técnico, informe jurídico e informe de fiscalización, procede la aprobación del expediente y gasto del mismo conforme con lo </w:t>
      </w:r>
      <w:r>
        <w:rPr>
          <w:rFonts w:eastAsia="Verdana" w:cs="Verdana" w:ascii="IBM Plex Sans" w:hAnsi="IBM Plex Sans"/>
          <w:color w:val="040404"/>
          <w:sz w:val="22"/>
          <w:szCs w:val="22"/>
          <w:u w:val="none"/>
          <w:lang w:val="es-ES_tradnl"/>
        </w:rPr>
        <w:t>dispuesto en el artículo 117 de la Ley de Contratos del Sector Público, y no el inicio de expediente tal y como se incluyó en el orden del día de la convocatoria.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Atendiendo a lo expuesto,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tramitación ordinaria y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las aplicaciones presupuestarias: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342B2279948 Gestión Servicio Piscina Agüimes y otros.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342B2279946Servicios Deportivos y otros en la Piscinade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342B2279945 Mantenimiento y Servicios en la Piscina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342B2270005 Servicios de Limpieza en la Piscina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342C2270005 Servicios de Limpieza en el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324C2279945Mantenimiento y Servicios en el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342C2279946Servicios Deportivos y otros en el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342C2279948 Gestión Servicio en el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342D2279946 Servicios Deportivos y otros en la Piscina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342D2270005 Servicios de Limpieza en la Piscina de Temisas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342D2279945 Mantenimiento y Servicios en la Piscina de Temisas</w:t>
      </w:r>
      <w:r>
        <w:rPr>
          <w:rFonts w:eastAsia="TimesNewRomanPS-BoldMT" w:cs="TimesNewRomanPS-BoldMT" w:ascii="IBM Plex Sans" w:hAnsi="IBM Plex Sans"/>
          <w:b/>
          <w:bCs/>
          <w:color w:val="040404"/>
          <w:sz w:val="22"/>
          <w:szCs w:val="22"/>
          <w:u w:val="none"/>
          <w:lang w:eastAsia="es-ES"/>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342P3/2279945 Mantenimiento y servicios en el Pabellón y Canchas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342P3/2270005 Servicio de Limpieza de Pabellón y canchas del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342P7/2279946 Servicios Deportivos y otros de La Banda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342B2279940 Contratación servicios de Actividades Dirigidas Piscina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342C2279940 Contratación de servicios de Actividades Dirigidas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342P22279940 Contratación de servicios de Actividades Dirigidas Pabellón y canchas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342P92279940 Contratación de servicios de Actividades Dirigidas para Otras instalaciones Deportivas.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342B2279936Mantenimiento instalaciones de climatización en Piscina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342C2279936 Mantenimiento instalaciones de climatización en Centro de Hidroterapia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342D2279936 Mantenimiento instalaciones de climatización en Piscina de Temisas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2020/00004635D. ADJUDICACIÓN DEFINITIVA DE LA OBRA CONSTRUCCIÓN PROVISIONAL DE MÓDULOS PREFABRICADOS PARA COMEDOR ESCOLAR EN EL CEIP 20 DE ENERO, DE ARINAGA.</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7 de septiembre de 2020, se eleva a acuerdo la propuesta de mejor oferta para adjudicación del contrato  “Construcción Provisional de Módulos Prefabricados para Comedor Escolar en el CEIP 20 de Enero de Arinaga”</w:t>
      </w:r>
      <w:r>
        <w:rPr>
          <w:rFonts w:eastAsia="Verdana" w:cs="Verdana" w:ascii="IBM Plex Sans" w:hAnsi="IBM Plex Sans"/>
          <w:color w:val="040404"/>
          <w:sz w:val="22"/>
          <w:szCs w:val="22"/>
          <w:u w:val="none"/>
        </w:rPr>
        <w:t xml:space="preserve">,  siendo este Acto, así como todos los actos posteriores realizados, convalidados en la Junta de Gobierno Local de fecha 26 de octubre de 2020.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w:t>
      </w:r>
      <w:r>
        <w:rPr>
          <w:rFonts w:eastAsia="Verdana" w:cs="Verdana" w:ascii="IBM Plex Sans" w:hAnsi="IBM Plex Sans"/>
          <w:b w:val="false"/>
          <w:bCs w:val="false"/>
          <w:color w:val="040404"/>
          <w:sz w:val="22"/>
          <w:szCs w:val="22"/>
          <w:u w:val="none"/>
        </w:rPr>
        <w:t xml:space="preserve"> adjudicar mediante procedimiento abierto, simplificado y tramitación ordinaria, el contrato de </w:t>
      </w:r>
      <w:r>
        <w:rPr>
          <w:rFonts w:eastAsia="Arial" w:cs="Verdana" w:ascii="IBM Plex Sans" w:hAnsi="IBM Plex Sans"/>
          <w:b w:val="false"/>
          <w:bCs w:val="false"/>
          <w:caps/>
          <w:color w:val="040404"/>
          <w:sz w:val="22"/>
          <w:szCs w:val="22"/>
          <w:u w:val="none"/>
          <w:lang w:eastAsia="es-ES"/>
        </w:rPr>
        <w:t>“CONSTRUCCIÓN PROVISIONAL DE MÓDULOS PREFABRICADOS PARA COMEDOR ESCOLAR EN EL CEIP 20 DE ENERO DE ARINAGA”</w:t>
      </w:r>
      <w:r>
        <w:rPr>
          <w:rFonts w:eastAsia="Verdana" w:cs="Verdana" w:ascii="IBM Plex Sans" w:hAnsi="IBM Plex Sans"/>
          <w:b w:val="false"/>
          <w:bCs w:val="false"/>
          <w:color w:val="040404"/>
          <w:sz w:val="22"/>
          <w:szCs w:val="22"/>
          <w:u w:val="none"/>
        </w:rPr>
        <w:t xml:space="preserve">, a </w:t>
      </w:r>
      <w:r>
        <w:rPr>
          <w:rFonts w:eastAsia="Verdana" w:cs="Verdana" w:ascii="IBM Plex Sans" w:hAnsi="IBM Plex Sans"/>
          <w:b w:val="false"/>
          <w:bCs w:val="false"/>
          <w:color w:val="040404"/>
          <w:sz w:val="22"/>
          <w:szCs w:val="22"/>
          <w:u w:val="none"/>
          <w:lang w:eastAsia="es-ES"/>
        </w:rPr>
        <w:t xml:space="preserve">la empresa </w:t>
      </w:r>
      <w:r>
        <w:rPr>
          <w:rStyle w:val="Labelnormal"/>
          <w:rFonts w:cs="Liberation Serif" w:ascii="IBM Plex Sans" w:hAnsi="IBM Plex Sans"/>
          <w:b w:val="false"/>
          <w:bCs w:val="false"/>
          <w:color w:val="040404"/>
          <w:sz w:val="22"/>
          <w:szCs w:val="22"/>
          <w:u w:val="none"/>
        </w:rPr>
        <w:t xml:space="preserve">BERNEGAL INFRAESTRUCTURAS SL,  </w:t>
      </w:r>
      <w:r>
        <w:rPr>
          <w:rFonts w:eastAsia="Verdana-Italic" w:cs="Verdana" w:ascii="IBM Plex Sans" w:hAnsi="IBM Plex Sans"/>
          <w:b w:val="false"/>
          <w:bCs w:val="false"/>
          <w:iCs/>
          <w:color w:val="040404"/>
          <w:sz w:val="22"/>
          <w:szCs w:val="22"/>
          <w:u w:val="none"/>
          <w:lang w:eastAsia="es-ES"/>
        </w:rPr>
        <w:t xml:space="preserve">con CIF ****8433*, </w:t>
      </w:r>
      <w:r>
        <w:rPr>
          <w:rStyle w:val="Labelnormal"/>
          <w:rFonts w:cs="Liberation Serif" w:ascii="IBM Plex Sans" w:hAnsi="IBM Plex Sans"/>
          <w:b w:val="false"/>
          <w:bCs w:val="false"/>
          <w:color w:val="040404"/>
          <w:sz w:val="22"/>
          <w:szCs w:val="22"/>
          <w:u w:val="none"/>
        </w:rPr>
        <w:t>por importe de CIENTO DOS MIL CUARENTA Y DOS EUROS CON ONCE CÉNTIMOS DE EURO (</w:t>
      </w:r>
      <w:r>
        <w:rPr>
          <w:rFonts w:eastAsia="Arial" w:cs="Verdana" w:ascii="IBM Plex Sans" w:hAnsi="IBM Plex Sans"/>
          <w:b w:val="false"/>
          <w:bCs w:val="false"/>
          <w:color w:val="040404"/>
          <w:sz w:val="22"/>
          <w:szCs w:val="22"/>
          <w:u w:val="none"/>
        </w:rPr>
        <w:t>102.042,11 €), más 7.142,95 de IGIC,  y la mejora ofertada.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323P/6320000.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Arquitecto Técnico de este Ayuntamiento, don Francisco Estévez Rivero, Responsable Supervisor de ejecución del contrato y Director Facultativo de la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2018/00000108L. PRÓRROGA DEL CONTRATO DE SUMINISTRO DE MATERIAL DIVERSO SANITARIO.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w:t>
      </w:r>
      <w:r>
        <w:rPr>
          <w:rFonts w:eastAsia="Verdana-Bold" w:cs="Verdana" w:ascii="IBM Plex Sans" w:hAnsi="IBM Plex Sans"/>
          <w:b w:val="false"/>
          <w:bCs w:val="false"/>
          <w:color w:val="040404"/>
          <w:sz w:val="22"/>
          <w:szCs w:val="22"/>
          <w:u w:val="none"/>
          <w:lang w:eastAsia="es-ES"/>
        </w:rPr>
        <w:t>aprobación al contenido de la precedente propuesta y en base a ello proceder a la prórroga del contrato de "Suministro de Material Diverso Sanitario", suscrito con la empresa GRUPO SANITARIO ATLÁNTICO, SL</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xml:space="preserve">por el período de un (1) año más, </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y la aceptación de la citada propuesta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TESORERÍA.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2020/00012410Y. CALENDARIO FISCAL PARA EL 2021.</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sobre el </w:t>
      </w:r>
      <w:r>
        <w:rPr>
          <w:rFonts w:eastAsia="Verdana" w:cs="Verdana" w:ascii="IBM Plex Sans" w:hAnsi="IBM Plex Sans"/>
          <w:b w:val="false"/>
          <w:bCs w:val="false"/>
          <w:color w:val="040404"/>
          <w:sz w:val="22"/>
          <w:szCs w:val="22"/>
          <w:u w:val="none"/>
        </w:rPr>
        <w:t>Calendario Fiscal correspondiente a los tributos de carácter periódico del ejercicio 2021,</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ASUNTOS DE PRESIDENCIA.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Dado que los puntos a tratar, no se incluyeron en el orden del día de la presente sesión, y la adopción de dichos acuerdos no admiten demora, se trae a esta Junta de Gobierno Local por la Presidencia de la misma, para su inclusión en esta sesión, debiendo para ello votar la </w:t>
      </w:r>
      <w:r>
        <w:rPr>
          <w:rFonts w:eastAsia="Verdana" w:cs="Verdana" w:ascii="IBM Plex Sans" w:hAnsi="IBM Plex Sans"/>
          <w:b w:val="false"/>
          <w:bCs w:val="false"/>
          <w:color w:val="040404"/>
          <w:sz w:val="22"/>
          <w:szCs w:val="22"/>
          <w:u w:val="none"/>
        </w:rPr>
        <w:t>declaración de urgencia,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9A. EMPLEO</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2020/00010577J. APROBACIÓN MEMORIA DESCRIPTIVA PARA LA EJECUCIÓN DEL PROYECTO “AGÜIMES EMPLEA 2020”.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w:t>
      </w:r>
      <w:r>
        <w:rPr>
          <w:rFonts w:eastAsia="Verdana-Bold" w:cs="Verdana" w:ascii="IBM Plex Sans" w:hAnsi="IBM Plex Sans"/>
          <w:b w:val="false"/>
          <w:bCs w:val="false"/>
          <w:color w:val="040404"/>
          <w:sz w:val="22"/>
          <w:szCs w:val="22"/>
          <w:u w:val="none"/>
          <w:lang w:eastAsia="es-ES"/>
        </w:rPr>
        <w:t xml:space="preserve">aprobación al contenido de la precedente propuesta sobre el proyecto “AGÜIMES EMPLEA 2020”, a los efectos del Acuerdo – Marco de Colaboración entre el Servicio Canario de Empleo y la FECAM para el desarrollo de tareas de utilidad y de reinserción en el Marco del Programa Extraordinario de Empleo para el período 2020-2021,  </w:t>
      </w:r>
      <w:r>
        <w:rPr>
          <w:rFonts w:eastAsia="Verdana" w:cs="Verdana" w:ascii="IBM Plex Sans" w:hAnsi="IBM Plex Sans"/>
          <w:color w:val="040404"/>
          <w:sz w:val="22"/>
          <w:szCs w:val="22"/>
          <w:u w:val="none"/>
          <w:lang w:eastAsia="es-ES"/>
        </w:rPr>
        <w:t>y la aceptación de la citada propuesta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9B.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2020/00010945J. APROBACIÓN DEL PROYECTO PARA EJECUCIÓN DE LA OBRA “PAVIMENTACIÓN ASFÁLTICA EN LA ZONA INDUSTRIAL DE ARINAGA: CALLES LOS CACTUS, LOS ALGARROBOS Y CANAL DERECHA E IZQUIERDA”.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Verdana" w:cs="Verdana" w:ascii="IBM Plex Sans" w:hAnsi="IBM Plex Sans"/>
          <w:b w:val="false"/>
          <w:bCs w:val="false"/>
          <w:color w:val="040404"/>
          <w:sz w:val="22"/>
          <w:szCs w:val="22"/>
          <w:u w:val="none"/>
          <w:lang w:eastAsia="es-ES"/>
        </w:rPr>
        <w:t>“PAVIMENTACIÓN ASFÁLTICA EN LA ZONA INDUSTRIAL DE ARINAGA: CALLES LOS CACTUS, LOS ALGARROBOS Y CANAL DERECHA E IZQUIERDA”</w:t>
      </w:r>
      <w:r>
        <w:rPr>
          <w:rFonts w:eastAsia="Verdana" w:cs="Verdana" w:ascii="IBM Plex Sans" w:hAnsi="IBM Plex Sans"/>
          <w:b w:val="false"/>
          <w:bCs w:val="false"/>
          <w:color w:val="040404"/>
          <w:sz w:val="22"/>
          <w:szCs w:val="22"/>
          <w:u w:val="none"/>
        </w:rPr>
        <w:t xml:space="preserve">,  redactado  por el Ingeniero Técnico de Obras Públicas, Colegiado nº **45* CITOPIC, y supervisado por el Ingeniero de Edificación Municipal, don Ángel Luis Pérez Rodríguez, con un presupuesto total de ejecución por contrata </w:t>
      </w:r>
      <w:r>
        <w:rPr>
          <w:rFonts w:eastAsia="Calibri-Bold" w:cs="Verdana" w:ascii="IBM Plex Sans" w:hAnsi="IBM Plex Sans"/>
          <w:b w:val="false"/>
          <w:bCs w:val="false"/>
          <w:color w:val="040404"/>
          <w:sz w:val="22"/>
          <w:szCs w:val="22"/>
          <w:u w:val="none"/>
          <w:lang w:eastAsia="es-ES"/>
        </w:rPr>
        <w:t>299.993,76</w:t>
      </w:r>
      <w:r>
        <w:rPr>
          <w:rFonts w:eastAsia="Calibri" w:cs="Calibri"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 xml:space="preserve">euros </w:t>
      </w:r>
      <w:r>
        <w:rPr>
          <w:rFonts w:eastAsia="Verdana" w:cs="Verdana" w:ascii="IBM Plex Sans" w:hAnsi="IBM Plex Sans"/>
          <w:color w:val="040404"/>
          <w:sz w:val="22"/>
          <w:szCs w:val="22"/>
          <w:u w:val="none"/>
        </w:rPr>
        <w:t>(IGIC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8720" cy="1066990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48" t="-34" r="-48" b="-34"/>
                  <a:stretch>
                    <a:fillRect/>
                  </a:stretch>
                </pic:blipFill>
                <pic:spPr bwMode="auto">
                  <a:xfrm>
                    <a:off x="0" y="0"/>
                    <a:ext cx="7538720" cy="10669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rFonts w:ascii="Times New Roman" w:hAnsi="Times New Roman" w:eastAsia="Times New Roman"/>
      <w:sz w:val="16"/>
      <w:szCs w:val="16"/>
    </w:rPr>
  </w:style>
  <w:style w:type="character" w:styleId="WW8Num50z1">
    <w:name w:val="WW8Num50z1"/>
    <w:qFormat/>
    <w:rPr>
      <w:lang w:val="es-ES"/>
    </w:rPr>
  </w:style>
  <w:style w:type="character" w:styleId="WW8Num49z1">
    <w:name w:val="WW8Num49z1"/>
    <w:qFormat/>
    <w:rPr>
      <w:lang w:val="es-ES"/>
    </w:rPr>
  </w:style>
  <w:style w:type="character" w:styleId="WW8Num49z0">
    <w:name w:val="WW8Num49z0"/>
    <w:qFormat/>
    <w:rPr>
      <w:rFonts w:ascii="Courier New" w:hAnsi="Courier New" w:eastAsia="Courier New"/>
      <w:w w:val="100"/>
      <w:sz w:val="20"/>
      <w:szCs w:val="20"/>
      <w:lang w:val="es-ES" w:eastAsia="es-ES"/>
    </w:rPr>
  </w:style>
  <w:style w:type="character" w:styleId="WW8Num48z1">
    <w:name w:val="WW8Num48z1"/>
    <w:qFormat/>
    <w:rPr>
      <w:rFonts w:ascii="Courier New" w:hAnsi="Courier New" w:eastAsia="Courier New"/>
    </w:rPr>
  </w:style>
  <w:style w:type="character" w:styleId="WW8Num48z0">
    <w:name w:val="WW8Num48z0"/>
    <w:qFormat/>
    <w:rPr>
      <w:rFonts w:ascii="Verdana" w:hAnsi="Verdana" w:eastAsia="Arial"/>
      <w:sz w:val="20"/>
      <w:szCs w:val="20"/>
      <w:lang w:val="es-ES"/>
    </w:rPr>
  </w:style>
  <w:style w:type="character" w:styleId="WW8Num47z2">
    <w:name w:val="WW8Num47z2"/>
    <w:qFormat/>
    <w:rPr>
      <w:lang w:val="es-ES"/>
    </w:rPr>
  </w:style>
  <w:style w:type="character" w:styleId="WW8Num47z1">
    <w:name w:val="WW8Num47z1"/>
    <w:qFormat/>
    <w:rPr>
      <w:rFonts w:ascii="Verdana" w:hAnsi="Verdana" w:eastAsia="Verdana"/>
      <w:w w:val="100"/>
      <w:sz w:val="22"/>
      <w:szCs w:val="22"/>
      <w:lang w:val="es-ES" w:eastAsia="es-ES"/>
    </w:rPr>
  </w:style>
  <w:style w:type="character" w:styleId="WW8Num47z0">
    <w:name w:val="WW8Num47z0"/>
    <w:qFormat/>
    <w:rPr>
      <w:rFonts w:ascii="Verdana" w:hAnsi="Verdana" w:eastAsia="Verdana"/>
      <w:w w:val="100"/>
      <w:sz w:val="20"/>
      <w:szCs w:val="20"/>
      <w:lang w:val="es-ES" w:eastAsia="es-ES"/>
    </w:rPr>
  </w:style>
  <w:style w:type="character" w:styleId="WW8Num46z1">
    <w:name w:val="WW8Num46z1"/>
    <w:qFormat/>
    <w:rPr>
      <w:lang w:val="es-ES"/>
    </w:rPr>
  </w:style>
  <w:style w:type="character" w:styleId="WW8Num46z0">
    <w:name w:val="WW8Num46z0"/>
    <w:qFormat/>
    <w:rPr>
      <w:rFonts w:ascii="Verdana" w:hAnsi="Verdana" w:eastAsia="Verdana"/>
      <w:w w:val="100"/>
      <w:sz w:val="22"/>
      <w:szCs w:val="22"/>
      <w:lang w:val="es-ES" w:eastAsia="es-ES"/>
    </w:rPr>
  </w:style>
  <w:style w:type="character" w:styleId="WW8Num45z1">
    <w:name w:val="WW8Num45z1"/>
    <w:qFormat/>
    <w:rPr>
      <w:rFonts w:ascii="Courier New" w:hAnsi="Courier New" w:eastAsia="Courier New"/>
    </w:rPr>
  </w:style>
  <w:style w:type="character" w:styleId="WW8Num45z0">
    <w:name w:val="WW8Num45z0"/>
    <w:qFormat/>
    <w:rPr>
      <w:rFonts w:ascii="Verdana" w:hAnsi="Verdana" w:eastAsia="Times New Roman"/>
      <w:sz w:val="20"/>
      <w:szCs w:val="20"/>
    </w:rPr>
  </w:style>
  <w:style w:type="character" w:styleId="WW8Num44z1">
    <w:name w:val="WW8Num44z1"/>
    <w:qFormat/>
    <w:rPr>
      <w:lang w:val="es-ES"/>
    </w:rPr>
  </w:style>
  <w:style w:type="character" w:styleId="WW8Num44z0">
    <w:name w:val="WW8Num44z0"/>
    <w:qFormat/>
    <w:rPr>
      <w:rFonts w:ascii="Verdana" w:hAnsi="Verdana" w:eastAsia="Verdana"/>
      <w:w w:val="100"/>
      <w:sz w:val="22"/>
      <w:szCs w:val="22"/>
      <w:lang w:val="es-ES" w:eastAsia="es-ES"/>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style>
  <w:style w:type="character" w:styleId="WW8Num42z3">
    <w:name w:val="WW8Num42z3"/>
    <w:qFormat/>
    <w:rPr>
      <w:rFonts w:ascii="Verdana" w:hAnsi="Verdana" w:eastAsia="Verdana"/>
      <w:spacing w:val="-1"/>
      <w:w w:val="100"/>
      <w:sz w:val="20"/>
      <w:szCs w:val="20"/>
      <w:lang w:val="es-ES" w:eastAsia="es-ES"/>
    </w:rPr>
  </w:style>
  <w:style w:type="character" w:styleId="WW8Num42z2">
    <w:name w:val="WW8Num42z2"/>
    <w:qFormat/>
    <w:rPr>
      <w:rFonts w:ascii="Verdana" w:hAnsi="Verdana" w:eastAsia="Verdana"/>
      <w:spacing w:val="0"/>
      <w:w w:val="100"/>
      <w:sz w:val="22"/>
      <w:szCs w:val="22"/>
      <w:lang w:val="es-ES" w:eastAsia="es-ES"/>
    </w:rPr>
  </w:style>
  <w:style w:type="character" w:styleId="WW8Num42z1">
    <w:name w:val="WW8Num42z1"/>
    <w:qFormat/>
    <w:rPr>
      <w:sz w:val="20"/>
    </w:rPr>
  </w:style>
  <w:style w:type="character" w:styleId="WW8Num42z0">
    <w:name w:val="WW8Num42z0"/>
    <w:qFormat/>
    <w:rPr>
      <w:lang w:val="es-ES"/>
    </w:rPr>
  </w:style>
  <w:style w:type="character" w:styleId="WW8Num41z1">
    <w:name w:val="WW8Num41z1"/>
    <w:qFormat/>
    <w:rPr>
      <w:rFonts w:ascii="Courier New" w:hAnsi="Courier New" w:eastAsia="Courier New"/>
    </w:rPr>
  </w:style>
  <w:style w:type="character" w:styleId="WW8Num41z0">
    <w:name w:val="WW8Num41z0"/>
    <w:qFormat/>
    <w:rPr>
      <w:rFonts w:ascii="Verdana" w:hAnsi="Verdana" w:eastAsia="Arial"/>
      <w:sz w:val="20"/>
      <w:szCs w:val="20"/>
      <w:highlight w:val="lightGray"/>
      <w:lang w:val="es-ES"/>
    </w:rPr>
  </w:style>
  <w:style w:type="character" w:styleId="WW8Num40z2">
    <w:name w:val="WW8Num40z2"/>
    <w:qFormat/>
    <w:rPr>
      <w:lang w:val="es-ES"/>
    </w:rPr>
  </w:style>
  <w:style w:type="character" w:styleId="WW8Num40z0">
    <w:name w:val="WW8Num40z0"/>
    <w:qFormat/>
    <w:rPr>
      <w:rFonts w:ascii="Verdana" w:hAnsi="Verdana" w:eastAsia="Verdana"/>
      <w:w w:val="100"/>
      <w:sz w:val="22"/>
      <w:szCs w:val="22"/>
      <w:lang w:val="es-ES" w:eastAsia="es-ES"/>
    </w:rPr>
  </w:style>
  <w:style w:type="character" w:styleId="WW8Num39z1">
    <w:name w:val="WW8Num39z1"/>
    <w:qFormat/>
    <w:rPr>
      <w:lang w:val="es-ES"/>
    </w:rPr>
  </w:style>
  <w:style w:type="character" w:styleId="WW8Num38z1">
    <w:name w:val="WW8Num38z1"/>
    <w:qFormat/>
    <w:rPr>
      <w:lang w:val="es-ES"/>
    </w:rPr>
  </w:style>
  <w:style w:type="character" w:styleId="WW8Num38z0">
    <w:name w:val="WW8Num38z0"/>
    <w:qFormat/>
    <w:rPr>
      <w:rFonts w:ascii="Times New Roman" w:hAnsi="Times New Roman" w:eastAsia="Times New Roman"/>
      <w:spacing w:val="-3"/>
      <w:w w:val="100"/>
      <w:sz w:val="22"/>
      <w:szCs w:val="22"/>
      <w:lang w:val="es-ES" w:eastAsia="es-ES"/>
    </w:rPr>
  </w:style>
  <w:style w:type="character" w:styleId="WW8Num37z1">
    <w:name w:val="WW8Num37z1"/>
    <w:qFormat/>
    <w:rPr>
      <w:lang w:val="es-ES"/>
    </w:rPr>
  </w:style>
  <w:style w:type="character" w:styleId="WW8Num37z0">
    <w:name w:val="WW8Num37z0"/>
    <w:qFormat/>
    <w:rPr>
      <w:rFonts w:ascii="Verdana" w:hAnsi="Verdana" w:eastAsia="Verdana"/>
      <w:w w:val="100"/>
      <w:sz w:val="22"/>
      <w:szCs w:val="22"/>
      <w:lang w:val="es-ES" w:eastAsia="es-ES"/>
    </w:rPr>
  </w:style>
  <w:style w:type="character" w:styleId="WW8Num36z1">
    <w:name w:val="WW8Num36z1"/>
    <w:qFormat/>
    <w:rPr>
      <w:lang w:val="es-ES"/>
    </w:rPr>
  </w:style>
  <w:style w:type="character" w:styleId="WW8Num36z0">
    <w:name w:val="WW8Num36z0"/>
    <w:qFormat/>
    <w:rPr>
      <w:rFonts w:ascii="Verdana" w:hAnsi="Verdana" w:eastAsia="Verdana"/>
      <w:spacing w:val="-1"/>
      <w:w w:val="100"/>
      <w:sz w:val="22"/>
      <w:szCs w:val="22"/>
      <w:lang w:val="es-ES" w:eastAsia="es-ES"/>
    </w:rPr>
  </w:style>
  <w:style w:type="character" w:styleId="WW8Num34z2">
    <w:name w:val="WW8Num34z2"/>
    <w:qFormat/>
    <w:rPr>
      <w:lang w:val="es-ES"/>
    </w:rPr>
  </w:style>
  <w:style w:type="character" w:styleId="WW8Num28z2">
    <w:name w:val="WW8Num28z2"/>
    <w:qFormat/>
    <w:rPr>
      <w:lang w:val="es-ES"/>
    </w:rPr>
  </w:style>
  <w:style w:type="character" w:styleId="WW8Num28z0">
    <w:name w:val="WW8Num28z0"/>
    <w:qFormat/>
    <w:rPr>
      <w:rFonts w:ascii="Verdana" w:hAnsi="Verdana" w:eastAsia="Verdana"/>
      <w:spacing w:val="0"/>
      <w:w w:val="100"/>
      <w:sz w:val="22"/>
      <w:szCs w:val="22"/>
      <w:lang w:val="es-ES" w:eastAsia="es-ES"/>
    </w:rPr>
  </w:style>
  <w:style w:type="character" w:styleId="WW8Num27z2">
    <w:name w:val="WW8Num27z2"/>
    <w:qFormat/>
    <w:rPr>
      <w:rFonts w:ascii="Verdana" w:hAnsi="Verdana" w:eastAsia="Verdana"/>
      <w:sz w:val="20"/>
      <w:szCs w:val="20"/>
    </w:rPr>
  </w:style>
  <w:style w:type="character" w:styleId="WW8Num27z0">
    <w:name w:val="WW8Num27z0"/>
    <w:qFormat/>
    <w:rPr>
      <w:lang w:val="es-ES"/>
    </w:rPr>
  </w:style>
  <w:style w:type="character" w:styleId="WW8Num22z0">
    <w:name w:val="WW8Num22z0"/>
    <w:qFormat/>
    <w:rPr>
      <w:rFonts w:ascii="Verdana" w:hAnsi="Verdana" w:eastAsia="Verdana"/>
      <w:spacing w:val="-1"/>
      <w:w w:val="100"/>
      <w:sz w:val="20"/>
      <w:szCs w:val="20"/>
      <w:lang w:val="es-ES" w:eastAsia="es-ES"/>
    </w:rPr>
  </w:style>
  <w:style w:type="character" w:styleId="WW8Num20z3">
    <w:name w:val="WW8Num20z3"/>
    <w:qFormat/>
    <w:rPr/>
  </w:style>
  <w:style w:type="character" w:styleId="WW8Num20z2">
    <w:name w:val="WW8Num20z2"/>
    <w:qFormat/>
    <w:rPr>
      <w:b/>
      <w:i w:val="false"/>
    </w:rPr>
  </w:style>
  <w:style w:type="character" w:styleId="WW8Num19z0">
    <w:name w:val="WW8Num19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5z0">
    <w:name w:val="WW8Num5z0"/>
    <w:qFormat/>
    <w:rPr>
      <w:rFonts w:ascii="Verdana" w:hAnsi="Verdana" w:eastAsia="Verdana"/>
      <w:b/>
      <w:bCs/>
      <w:spacing w:val="0"/>
      <w:w w:val="100"/>
      <w:sz w:val="22"/>
      <w:szCs w:val="22"/>
      <w:lang w:val="es-ES" w:eastAsia="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TableParagraph">
    <w:name w:val="Table Paragraph"/>
    <w:basedOn w:val="Normal"/>
    <w:qFormat/>
    <w:pPr>
      <w:widowControl w:val="false"/>
      <w:spacing w:lineRule="exact" w:line="240" w:before="0" w:after="0"/>
    </w:pPr>
    <w:rPr>
      <w:rFonts w:ascii="Verdana" w:hAnsi="Verdana" w:eastAsia="Verdana"/>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4</Pages>
  <Words>1506</Words>
  <CharactersWithSpaces>9923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2021-03-10T21:24:07Z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