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color w:val="2A265A"/>
          <w:sz w:val="36"/>
          <w:szCs w:val="36"/>
          <w:u w:val="none"/>
        </w:rPr>
      </w:pPr>
      <w:r>
        <w:rPr>
          <w:rFonts w:eastAsia="Calibri" w:cs="Verdana" w:ascii="Roboto Slab" w:hAnsi="Roboto Slab"/>
          <w:b/>
          <w:color w:val="2A265A"/>
          <w:sz w:val="36"/>
          <w:szCs w:val="36"/>
          <w:u w:val="none"/>
          <w:lang w:val="es-ES" w:bidi="ar-SA"/>
        </w:rPr>
        <w:t>ACUERDOS</w:t>
      </w:r>
      <w:r>
        <w:rPr>
          <w:rFonts w:cs="Verdana" w:ascii="Roboto Slab" w:hAnsi="Roboto Slab"/>
          <w:b/>
          <w:color w:val="2A265A"/>
          <w:sz w:val="36"/>
          <w:szCs w:val="36"/>
          <w:u w:val="none"/>
        </w:rPr>
        <w:t xml:space="preserve"> JUNTA DE GOBIERNO LOCAL</w:t>
      </w:r>
    </w:p>
    <w:p>
      <w:pPr>
        <w:pStyle w:val="Normal"/>
        <w:jc w:val="left"/>
        <w:rPr>
          <w:rFonts w:ascii="Roboto Slab" w:hAnsi="Roboto Slab"/>
          <w:color w:val="2A265A"/>
          <w:sz w:val="36"/>
          <w:szCs w:val="36"/>
          <w:u w:val="none"/>
        </w:rPr>
      </w:pPr>
      <w:r>
        <w:rPr>
          <w:rFonts w:cs="Verdana" w:ascii="Roboto Slab" w:hAnsi="Roboto Slab"/>
          <w:b/>
          <w:color w:val="2A265A"/>
          <w:sz w:val="36"/>
          <w:szCs w:val="36"/>
          <w:u w:val="none"/>
        </w:rPr>
        <w:t>T</w:t>
      </w:r>
      <w:r>
        <w:rPr>
          <w:rFonts w:cs="Verdana" w:ascii="Roboto Slab" w:hAnsi="Roboto Slab"/>
          <w:b/>
          <w:color w:val="2A265A"/>
          <w:sz w:val="36"/>
          <w:szCs w:val="36"/>
          <w:u w:val="none"/>
        </w:rPr>
        <w:t>REINTA DE NOVIEMBRE DE DOS MIL VEINTE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1. SECRETARIA GENERAL. NÚMERO: 2020/000013195D. LECTURA Y APROBACIÓN SI PROCEDE, DEL BORRADOR DEL ACTA DE LA SESIÓN CELEBRADA EL VEINTITRÉS DE NOVIEMBRE DE DOS MIL VEINTE.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del borrador del Acta de la sesión celebrada el día veintitrés de noviembre de dos mil veinte, la misma es aprobada por unanimidad, en sus literales términos.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2. CONTRATACIÓN.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NÚMERO: 2019/00015194B. APROBACIÓN EXPEDIENTE Y GASTO PARA EL PROCEDIMIENTO DE ADJUDICACIÓN DEL CONTRATO </w:t>
      </w: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DE</w:t>
      </w: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 “SUMINISTRO E INSTALACIÓN EQUIPAMIENTO DEPORTIVO PARA EXTERIORES” LOTES 1, 2 Y 3.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Mediante acuerdo de la Junta de Gobierno Local, en sesión celebrada el día 23 diciembre de 2019, se aprobó el inicio de expediente para la contratación  del </w:t>
      </w:r>
      <w:r>
        <w:rPr>
          <w:rFonts w:cs="Verdana-Bold" w:ascii="IBM Plex Sans" w:hAnsi="IBM Plex Sans"/>
          <w:bCs/>
          <w:color w:val="040404"/>
          <w:sz w:val="22"/>
          <w:szCs w:val="22"/>
          <w:u w:val="none"/>
          <w:lang w:eastAsia="es-ES"/>
        </w:rPr>
        <w:t>“SUMINISTRO E INSTALACIÓN DE EQUIPAMIENTO DEPORTIVO PARA EXTERIORES”.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Completado el expediente de contratación y en conformidad con lo dispuesto en el artículo 117 de la Ley de Contratos del Sector Público, esta Junta de Gobierno Local,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actuando por delegación de Alcaldía de conformidad con el decreto 2019/1563,</w:t>
      </w:r>
      <w:r>
        <w:rPr>
          <w:rFonts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de fecha 20 de junio, </w:t>
      </w:r>
      <w:r>
        <w:rPr>
          <w:rFonts w:cs="Verdana" w:ascii="IBM Plex Sans" w:hAnsi="IBM Plex Sans"/>
          <w:color w:val="040404"/>
          <w:sz w:val="22"/>
          <w:szCs w:val="22"/>
          <w:u w:val="none"/>
          <w:lang w:val="es-ES_tradnl"/>
        </w:rPr>
        <w:t>acuerda por unanimidad: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1. Aprobar el expediente.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2. Disponer la apertura de adjudicación mediante el procedimiento abierto y tramitación ordinaria.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3. Aprobar el gasto con cargo a las aplicaciones presupuestarias </w:t>
      </w:r>
      <w:r>
        <w:rPr>
          <w:rFonts w:cs="Verdana" w:ascii="IBM Plex Sans" w:hAnsi="IBM Plex Sans"/>
          <w:color w:val="040404"/>
          <w:sz w:val="22"/>
          <w:szCs w:val="22"/>
          <w:u w:val="none"/>
          <w:lang w:eastAsia="es-ES"/>
        </w:rPr>
        <w:t>171P/6091021 y 171P/6191000, según desglose indicado en la cláusula 5.1. del pliego administrativo.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4. Facultar al Sr. Alcalde para la realización de cuantas gestiones sean necesarias y se deriven de dicho expediente.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3. CONTRATACIÓN.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2019/00016832Q. ACUERDO ADJUDICACIÓN MEJOR OFERTA DEL LOTE Nº 1 DEL CONTRATO DE “SERVICIO DE MANTENIMIENTO Y CONSERVACIÓN DE LA RED DE ABASTECIMIENTO DE AGUA DE CONSUMO HUMANO, LIMPIEZA Y DESINFECCIÓN DE DEPÓSITOS MUNICIPALES Y ANALÍTICAS DE AGUA.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 acuerda por unanimidad dar su aprobación al contenido de la precedente Acta, elevando a acuerdo lo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1.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Excluir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del procedimiento de licitación a la UTE: GLOBAL OMNIUM MEDIOAMBIENTE, SL- PÉREZ MORENO, SAU, por no considerar adecuada la justificación de la baja económica de la oferta presentada, por  los motivos expuestos en los informes emitidos por el Técnico Municipal.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2.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Aprobar como mejor oferta para la adjudicación del LOTE 1 del contrato del “SERVICIO DE MANTENIMIENTO Y CONSERVACIÓN DE LA RED DE ABASTECIMIENTO DE AGUA DE CONSUMO HUMANO, LIMPIEZA Y DESINFECCIÓN DE DEPÓSITOS MUNICIPALES Y ANALÍTICAS DE AGUA”, como sigue: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LOTE Nº 1: MANTENIMIENTO Y CONSERVACIÓN DE LA RED DE ABASTECIMIENTO DE AGUA DE CONSUMO HUMANO, </w:t>
      </w: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</w:rPr>
        <w:t>la presentada por la empresa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FCC AQUALIA SA, clasificada en segundo lugar, en los términos siguientes que figuran en su oferta: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Mantenimiento preventivo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: Por importe de </w:t>
      </w: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337.298,84 €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, excluido IGIC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Mantenimiento correctivo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: Porcentaje de baja a los precios unitarios del Anexo I del Pliego de Prescripciones Técnicas de un </w:t>
      </w: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35,70%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Contratación de una persona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en situación de desempleo durante dos años.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Sustitución anual de </w:t>
      </w: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400 contadores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La aceptación de la citada Acta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Asimismo, se acuerda por esta misma Junta se le conceda a la licitadora propuesta, para que en  el plazo de DIEZ (10) DÍAS HÁBILES, a contar desde el siguiente a aquel en el que hubiera recibido el requerimiento, proceda a la constitución de la garantía definitiva por importe del 5%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val="es-ES_tradnl"/>
        </w:rPr>
        <w:t>del precio final ofertado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 sumado el presupuesto base de licitación de los mantenimientos correctivos correspondientes, IGIC excluido, así como, la documentación que se indica en los apartados 19 y siguientes del pliego administrativo.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4. CONTRATACIÓN.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2020/00004992K. ADJUDICACIÓN LOTE 2 DEL CONTRATO DE “SERVICIO DE PREVENCIÓN AJENO DE RIESGOS LABORALES, VIGILANCIA DE LA SALUD Y COORDINACIÓN DE SEGURIDAD Y SALUD EN OBRAS DE CONSTRUCCIÓN DEL AYUNTAMIENTO DE AGÜIMES”.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Cs/>
          <w:color w:val="040404"/>
          <w:sz w:val="22"/>
          <w:szCs w:val="22"/>
          <w:u w:val="none"/>
        </w:rPr>
        <w:t>En sesión de la Junta de Gobierno Local celebrada el día 26 de octubre de 2020, se eleva a acuerdo la propuesta de mejor oferta para adjudicación del Lote nº 2 del contrato de  “Servicio de Mantenimiento y Conservación de la Red de Abastecimiento de Agua de Consumo Humano, Limpieza y Desinfección de Depósitos Municipales y Analíticas de Agua”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  <w:lang w:eastAsia="es-ES"/>
        </w:rPr>
        <w:t>Una vez dado cumplimiento con todo lo requerido al efecto, e</w:t>
      </w:r>
      <w:r>
        <w:rPr>
          <w:rFonts w:cs="Verdana" w:ascii="IBM Plex Sans" w:hAnsi="IBM Plex Sans"/>
          <w:color w:val="040404"/>
          <w:sz w:val="22"/>
          <w:szCs w:val="22"/>
          <w:u w:val="none"/>
          <w:lang w:val="es-ES_tradnl"/>
        </w:rPr>
        <w:t xml:space="preserve">sta Junta de Gobierno Local,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actuando por delegación de Alcaldía de conformidad con el decreto 2019/1563, de fecha 20 de junio, acuerda por unanimidad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adjudicar mediante procedimiento abierto, tramitación ordinaria y sujeto a Regulación Armonizada, el LOTE 2 del contrato del </w:t>
      </w:r>
      <w:r>
        <w:rPr>
          <w:rFonts w:eastAsia="Arial" w:cs="Arial" w:ascii="IBM Plex Sans" w:hAnsi="IBM Plex Sans"/>
          <w:b w:val="false"/>
          <w:bCs w:val="false"/>
          <w:caps/>
          <w:color w:val="040404"/>
          <w:sz w:val="22"/>
          <w:szCs w:val="22"/>
          <w:u w:val="none"/>
          <w:lang w:bidi="es-ES"/>
        </w:rPr>
        <w:t>“SERVICIO DE PREVENCIÓN AJENO DE RIESGOS LABORALES, VIGILANCIA DE LA SALUD Y COORDINACIÓN DE SEGURIDAD Y SALUD EN OBRAS DE CONSTRUCCIÓN DEL AYUNTAMIENTO DE AGÜIMES”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,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como sigue: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LOTE II: MODALIDAD DE COORDINACIÓN DE SEGURIDAD Y SALUD EN OBRAS DE CONSTRUCCIÓN,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a la entidad mercantil </w:t>
      </w: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ICMOVE INGENIERÍA Y PREVENCIÓN, SLP, con CIF ****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>4314*,</w:t>
      </w:r>
      <w:r>
        <w:rPr>
          <w:rFonts w:cs="Verdana-Bold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 siendo el valor del coeficiente K de 0,18 €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  <w:lang w:eastAsia="es-ES"/>
        </w:rPr>
        <w:t xml:space="preserve">, </w:t>
      </w:r>
      <w:r>
        <w:rPr>
          <w:rFonts w:cs="Verdana" w:ascii="IBM Plex Sans" w:hAnsi="IBM Plex Sans"/>
          <w:color w:val="040404"/>
          <w:sz w:val="22"/>
          <w:szCs w:val="22"/>
          <w:u w:val="none"/>
          <w:lang w:eastAsia="es-ES"/>
        </w:rPr>
        <w:t>excluido IGIC, y con la mejora establecidas en su oferta de 30 servicios de coordinación de seguridad y salud gratuitos.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Se realiza el gasto con cargo a la aplicación presupuestaria </w:t>
      </w:r>
      <w:r>
        <w:rPr>
          <w:rFonts w:cs="Verdana" w:ascii="IBM Plex Sans" w:hAnsi="IBM Plex Sans"/>
          <w:color w:val="040404"/>
          <w:sz w:val="22"/>
          <w:szCs w:val="22"/>
          <w:u w:val="none"/>
          <w:lang w:eastAsia="es-ES"/>
        </w:rPr>
        <w:t>150A/2270155.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Al propio tiempo, se acuerda facultar al Sr. Alcalde para la firma y realización de cuantas gestiones sean necesarias, así como, nombrar, al Ingeniero Técnico Industrial de este Ayuntamiento, don Yone F. Díaz Pérez, Responsable Supervisor de ejecución del contrato.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5. OFICINA TÉCNICA- OBRAS MUNICIPALES.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2019/00010742K. APROBACIÓN ANEXO DE ACTUALIZACIÓN DE IGIC DEL PROYECTO “MEJORAS EN EL SANEAMIENTO AVENIDA DE ANSITE”.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En base a lo expuesto, esta Junta de Gobierno Local, actuando por delegación de Alcaldía de conformidad con el decreto 2019/1563, de fecha 20 de junio, acuerda por unanimidad la aprobación del citado Anexo en sus literales términos, quedando el presupuesto del proyecto como sigue: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Proyecto </w:t>
      </w:r>
      <w:r>
        <w:rPr>
          <w:rFonts w:eastAsia="Arial" w:cs="Arial" w:ascii="IBM Plex Sans" w:hAnsi="IBM Plex Sans"/>
          <w:b w:val="false"/>
          <w:bCs w:val="false"/>
          <w:color w:val="040404"/>
          <w:sz w:val="22"/>
          <w:szCs w:val="22"/>
          <w:u w:val="none"/>
          <w:lang w:bidi="es-ES"/>
        </w:rPr>
        <w:t xml:space="preserve">“MEJORAS EN EL SANEAMIENTO AVENIDA DE ANSITE”,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c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on un presupuesto de ejecución por contrata de </w:t>
      </w:r>
      <w:r>
        <w:rPr>
          <w:rFonts w:cs="Verdana-Bold" w:ascii="IBM Plex Sans" w:hAnsi="IBM Plex Sans"/>
          <w:bCs/>
          <w:color w:val="040404"/>
          <w:sz w:val="22"/>
          <w:szCs w:val="22"/>
          <w:u w:val="none"/>
          <w:lang w:eastAsia="es-ES"/>
        </w:rPr>
        <w:t>120.283,76</w:t>
      </w:r>
      <w:r>
        <w:rPr>
          <w:rFonts w:cs="Verdana-Bold" w:ascii="IBM Plex Sans" w:hAnsi="IBM Plex Sans"/>
          <w:b/>
          <w:bCs/>
          <w:color w:val="040404"/>
          <w:sz w:val="22"/>
          <w:szCs w:val="22"/>
          <w:u w:val="none"/>
          <w:lang w:eastAsia="es-ES"/>
        </w:rPr>
        <w:t xml:space="preserve"> 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6. ASUNTOS DE PRESIDENCIA.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Dado que el punto a tratar, no se incluyó en el orden del día de la presente sesión, y la adopción de dicho acuerdo no admite demora, se trae a esta Junta de Gobierno Local por la Presidencia de la misma, para su inclusión en esta sesión, debiendo para ello votar la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declaración de urgencia, siendo el voto favorable por unanimidad.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6A. CONTRATACIÓN.</w:t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NÚMERO: 2018/00000902P. NUEVO NOMBRAMIENTO RESPONSABLE SUPERVISOR/A DEL CONTRATO DE SERVICIOS DE “ILUMINACIÓN, SONORIZACIÓN, MAQUINARIA ESCÉNICA Y CARGA/DESCARGA DEL TEATRO-AUDITORIO DE AGÜIMES Y DEL TEATRO CRUCE DE CULTURAS DEL CRUCE DE ARINAGA”.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  <w:lang w:eastAsia="es-ES"/>
        </w:rPr>
        <w:t>Atendiendo a lo expuesto, esta Junta de Gobierno Local,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actuando por delegación de Alcaldía de conformidad con el decreto 2019/1563, de fecha 20 de junio, acuerda por unanimidad la aprobación de la precedente propuesta y en base a ello: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eastAsia="Verdana" w:cs="Verdana"/>
          <w:b w:val="false"/>
          <w:b w:val="false"/>
          <w:bCs w:val="false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1. Nombrar a la Funcionaria de este Ayuntamiento, doña Bibiana Cabrera Cabrera, Responsable Supervisora de ejecución del contrato de servicios de “ILUMINACIÓN, SONORIZACIÓN, MAQUINARIA ESCÉNICA Y CARGA/DESCARGA DEL TEATRO-AUDITORIO DE AGÜIMES Y DEL TEATRO CRUCE DE CULTURAS DEL CRUCE DE ARINAGA”, dado que el trabajador nombrado al efecto ha causado baja en esta Administración.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8720" cy="1066990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-34" r="-48" b="-34"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066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LibreOffice/6.4.3.2$Windows_X86_64 LibreOffice_project/747b5d0ebf89f41c860ec2a39efd7cb15b54f2d8</Application>
  <Pages>3</Pages>
  <Words>1154</Words>
  <CharactersWithSpaces>7431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2021-03-11T08:34:50Z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