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EXTRAORDINARIA Y URGENTE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21 de JUNIO de 2019,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08:30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b/>
          <w:sz w:val="22"/>
          <w:szCs w:val="22"/>
        </w:rPr>
        <w:t>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relacionan. Espero su exacta y puntual asistencia. Si por causa justificada no pudiera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Declaración de urgencia.-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Lectura y aprobación del borrador de acta de la sesión anterior.-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Designación de los grupos políticos y sus portavoces.-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Resolución Alcaldía miembros de la Junta de Gobierno Local, Tenientes de Alcalde y delegaciones en la misma.-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Resolución Alcaldía delegaciones específicas en concejales e instrucción de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procedimientos en funcionarios.-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Resolución Alcaldía áreas de gobierno.-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7.- Programa electoral 2019-2023.-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Propuesta Alcaldía delegación competencias del Pleno en la Junta de Gobierno Local.-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9.- Propuesta Alcaldía representantes en órganos colegiados.-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10.- Propuesta Alcaldía creación y composición de las comisiones informativas.-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11.- Propuesta Alcaldía periodicidad sesiones del pleno.-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12.- Retribuciones cargos electos.-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13.- Puestos y retribuciones personal eventual o de confianza.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LibreOffice/6.4.3.2$Windows_X86_64 LibreOffice_project/747b5d0ebf89f41c860ec2a39efd7cb15b54f2d8</Application>
  <Pages>1</Pages>
  <Words>274</Words>
  <Characters>1539</Characters>
  <CharactersWithSpaces>1794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2021-04-04T18:56:06Z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