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Solicitud de información pública.</w:t>
      </w:r>
    </w:p>
    <w:tbl>
      <w:tblPr>
        <w:tblW w:w="964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55"/>
        <w:gridCol w:w="6690"/>
      </w:tblGrid>
      <w:tr>
        <w:trPr/>
        <w:tc>
          <w:tcPr>
            <w:tcW w:w="29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Finalidad:</w:t>
            </w:r>
          </w:p>
        </w:tc>
        <w:tc>
          <w:tcPr>
            <w:tcW w:w="66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Tal y como recoge la Ley 12/2014, de 26 de diciembre, de transparencia y de acceso a la información pública, de Canarias, en su título Título III. Derecho de acceso a la información pública, Capítulos I y II, artículos 35 al 50, se consigue a través de este servicio dar respuesta a cuantas solicitudes de información pública de la que disponga </w:t>
            </w: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la empresa municipal Turismo Rural</w:t>
            </w: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 Agüimes </w:t>
            </w: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SL</w:t>
            </w: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 se soliciten por parte de la ciudadanía.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Quien lo puede 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p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resentar: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Cualquier persona, mayor de edad o no, residente o no, de cualquier nacionalidad, europea o de fuera de la UE.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Plazos de 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p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resentación: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Con carácter general la solicitud podrá presentarse en cualquier momento por medios electrónicos o presencialmente.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Ó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rgano 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g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estor: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Secretaría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r>
          </w:p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Plazo de resolución: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Tal y como establece la Ley 12/2014, de 26 de diciembre, de transparencia y de acceso a la información pública, de Canarias, en su Artículo 46. Plazo de resolución y sentido del silencio.</w:t>
            </w:r>
          </w:p>
          <w:p>
            <w:pPr>
              <w:pStyle w:val="Normal"/>
              <w:jc w:val="right"/>
              <w:rPr/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1. Las resoluciones sobre las solicitudes de acceso se adoptarán y notificarán en el </w:t>
            </w:r>
            <w:r>
              <w:rPr>
                <w:rStyle w:val="Muydestacado"/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plazo máximo de un mes desde su recepción por el órgano competente para resolver</w:t>
            </w: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. Cuando el volumen o la complejidad de la información solicitada lo justifiquen, el plazo se podrá ampliar por otro mes, informando de esta circunstancia al solicitante.</w:t>
            </w:r>
          </w:p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2. Las resoluciones por las que se inadmita a trámite las solicitudes por las causas previstas en las letras a), b), c) y d) del apartado 1 del artículo 43 se adoptarán y notificarán lo antes posible y, en todo caso, en el plazo máximo de diez días hábiles desde su recepción por el órgano competente para resolver.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Efecto del silencio 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a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dministrativo: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No procede</w:t>
            </w:r>
          </w:p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Tal y como establece la Ley 12/2014, de 26 de diciembre, de transparencia y de acceso a la información pública, de Canarias, en su Artículo 46. Plazo de resolución y sentido del silencio.</w:t>
            </w:r>
          </w:p>
          <w:p>
            <w:pPr>
              <w:pStyle w:val="Normal"/>
              <w:jc w:val="right"/>
              <w:rPr/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3. Transcurrido el plazo máximo para resolver sin haberse notificado resolución expresa, la solicitud de acceso se entenderá </w:t>
            </w:r>
            <w:r>
              <w:rPr>
                <w:rStyle w:val="Muydestacado"/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desestimada.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Recursos: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Ante el Comisionado de Transparencia de Canarias</w:t>
            </w:r>
          </w:p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https://transparenciacanarias.org/como-reclamar/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Normativa básica: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Style w:val="Destacado"/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Ley 12/2014, de 26 de diciembre, de transparencia y de acceso a la información pública, de Canaria</w:t>
            </w:r>
            <w:r>
              <w:rPr>
                <w:rStyle w:val="Destacado"/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s.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Información 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a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dicional: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Presentación de escrito de s</w:t>
            </w:r>
            <w:r>
              <w:rPr>
                <w:lang w:val="zxx"/>
              </w:rPr>
              <w:t>olicitud de información pública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Nivel de identificación del solicitante: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 w:cs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cs="IBM Plex Sans"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DNI / NIF o Pasaporte</w:t>
            </w:r>
          </w:p>
        </w:tc>
      </w:tr>
      <w:tr>
        <w:trPr/>
        <w:tc>
          <w:tcPr>
            <w:tcW w:w="295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jc w:val="left"/>
              <w:rPr>
                <w:rFonts w:ascii="IBM Plex Sans" w:hAnsi="IBM Plex San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 xml:space="preserve">Documentos a 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p</w:t>
            </w:r>
            <w:r>
              <w:rPr>
                <w:rFonts w:ascii="IBM Plex Sans" w:hAnsi="IBM Plex San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  <w:t>resentar:</w:t>
            </w:r>
          </w:p>
        </w:tc>
        <w:tc>
          <w:tcPr>
            <w:tcW w:w="66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jc w:val="right"/>
              <w:rPr>
                <w:rFonts w:ascii="IBM Plex Sans" w:hAnsi="IBM Plex Sans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IBM Plex Sans" w:hAnsi="IBM Plex Sans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u w:val="none"/>
              </w:rPr>
              <w:t>Solicitud específica y documentos anexos que procedan en cada caso</w:t>
            </w:r>
          </w:p>
        </w:tc>
      </w:tr>
    </w:tbl>
    <w:p>
      <w:pPr>
        <w:pStyle w:val="Normal"/>
        <w:jc w:val="left"/>
        <w:rPr>
          <w:rFonts w:ascii="IBM Plex Sans" w:hAnsi="IBM Plex Sans" w:eastAsia="IBM Plex Sans" w:cs="IBM Plex Sans"/>
          <w:color w:val="000000"/>
          <w:sz w:val="22"/>
          <w:szCs w:val="22"/>
        </w:rPr>
      </w:pPr>
      <w:r>
        <w:rPr>
          <w:rFonts w:eastAsia="IBM Plex Sans" w:cs="IBM Plex Sans" w:ascii="IBM Plex Sans" w:hAnsi="IBM Plex Sans"/>
          <w:color w:val="000000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-675640</wp:posOffset>
          </wp:positionH>
          <wp:positionV relativeFrom="paragraph">
            <wp:posOffset>-86995</wp:posOffset>
          </wp:positionV>
          <wp:extent cx="1494790" cy="8274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LibreOffice/6.4.3.2$Windows_X86_64 LibreOffice_project/747b5d0ebf89f41c860ec2a39efd7cb15b54f2d8</Application>
  <Pages>1</Pages>
  <Words>395</Words>
  <Characters>2107</Characters>
  <CharactersWithSpaces>2473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2021-04-17T08:19:49Z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