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 Slab" w:hAnsi="Roboto Slab" w:cs="Roboto Slab"/>
          <w:b/>
          <w:b/>
          <w:bCs/>
          <w:i w:val="false"/>
          <w:i w:val="false"/>
          <w:iCs w:val="false"/>
          <w:color w:val="2A265A"/>
          <w:sz w:val="36"/>
          <w:szCs w:val="36"/>
          <w:u w:val="none"/>
        </w:rPr>
      </w:pPr>
      <w:r>
        <w:rPr>
          <w:rFonts w:cs="Roboto Slab" w:ascii="Roboto Slab" w:hAnsi="Roboto Slab"/>
          <w:b/>
          <w:bCs/>
          <w:i w:val="false"/>
          <w:iCs w:val="false"/>
          <w:color w:val="2A265A"/>
          <w:sz w:val="36"/>
          <w:szCs w:val="36"/>
          <w:u w:val="none"/>
        </w:rPr>
        <w:t>ORDENANZA REGULADORA DE LA UTILIZACIÓN DEL ÁREA RECREATIVA DE EL MILANO</w:t>
      </w:r>
    </w:p>
    <w:p>
      <w:pPr>
        <w:pStyle w:val="Normal"/>
        <w:jc w:val="left"/>
        <w:rPr>
          <w:rFonts w:ascii="Roboto Slab" w:hAnsi="Roboto Slab" w:cs="Roboto Slab"/>
          <w:b w:val="false"/>
          <w:b w:val="false"/>
          <w:bCs w:val="false"/>
          <w:i w:val="false"/>
          <w:i w:val="false"/>
          <w:iCs w:val="false"/>
          <w:color w:val="2A265A"/>
          <w:w w:val="105"/>
          <w:sz w:val="22"/>
          <w:szCs w:val="22"/>
          <w:u w:val="none"/>
        </w:rPr>
      </w:pPr>
      <w:r>
        <w:rPr>
          <w:rFonts w:cs="Roboto Slab" w:ascii="Roboto Slab" w:hAnsi="Roboto Slab"/>
          <w:b w:val="false"/>
          <w:bCs w:val="false"/>
          <w:i w:val="false"/>
          <w:iCs w:val="false"/>
          <w:color w:val="2A265A"/>
          <w:w w:val="105"/>
          <w:sz w:val="22"/>
          <w:szCs w:val="22"/>
          <w:u w:val="none"/>
        </w:rPr>
        <w:t>(Boletín Oficial de la Provincia de Las Palmas, nº 14, miércoles 29 de enero de 2014)</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 ÁMBITO DE APLICACIÓN.</w:t>
      </w:r>
    </w:p>
    <w:p>
      <w:pPr>
        <w:pStyle w:val="Normal"/>
        <w:jc w:val="left"/>
        <w:rPr/>
      </w:pPr>
      <w:r>
        <w:rPr>
          <w:rFonts w:cs="IBM Plex Sans" w:ascii="IBM Plex Sans" w:hAnsi="IBM Plex Sans"/>
          <w:b w:val="false"/>
          <w:bCs w:val="false"/>
          <w:i w:val="false"/>
          <w:iCs w:val="false"/>
          <w:sz w:val="22"/>
          <w:szCs w:val="22"/>
          <w:u w:val="none"/>
        </w:rPr>
        <w:t xml:space="preserve">El objeto de la presente Ordenanza es establecer las normas de uso, gestión, </w:t>
      </w:r>
      <w:r>
        <w:rPr>
          <w:rFonts w:cs="IBM Plex Sans" w:ascii="IBM Plex Sans" w:hAnsi="IBM Plex Sans"/>
          <w:b w:val="false"/>
          <w:bCs w:val="false"/>
          <w:i w:val="false"/>
          <w:iCs w:val="false"/>
          <w:spacing w:val="-3"/>
          <w:sz w:val="22"/>
          <w:szCs w:val="22"/>
          <w:u w:val="none"/>
        </w:rPr>
        <w:t xml:space="preserve">funcionamiento </w:t>
      </w:r>
      <w:r>
        <w:rPr>
          <w:rFonts w:cs="IBM Plex Sans" w:ascii="IBM Plex Sans" w:hAnsi="IBM Plex Sans"/>
          <w:b w:val="false"/>
          <w:bCs w:val="false"/>
          <w:i w:val="false"/>
          <w:iCs w:val="false"/>
          <w:sz w:val="22"/>
          <w:szCs w:val="22"/>
          <w:u w:val="none"/>
        </w:rPr>
        <w:t xml:space="preserve">y control del Área Recreativa de El Milano de titularidad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pacing w:val="-3"/>
          <w:sz w:val="22"/>
          <w:szCs w:val="22"/>
          <w:u w:val="none"/>
        </w:rPr>
        <w:t xml:space="preserve">Ayuntamiento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Agüimes, sito </w:t>
      </w:r>
      <w:r>
        <w:rPr>
          <w:rFonts w:cs="IBM Plex Sans" w:ascii="IBM Plex Sans" w:hAnsi="IBM Plex Sans"/>
          <w:b w:val="false"/>
          <w:bCs w:val="false"/>
          <w:i w:val="false"/>
          <w:iCs w:val="false"/>
          <w:sz w:val="22"/>
          <w:szCs w:val="22"/>
          <w:u w:val="none"/>
        </w:rPr>
        <w:t>en la C</w:t>
      </w:r>
      <w:r>
        <w:rPr>
          <w:rFonts w:cs="IBM Plex Sans" w:ascii="IBM Plex Sans" w:hAnsi="IBM Plex Sans"/>
          <w:b w:val="false"/>
          <w:bCs w:val="false"/>
          <w:i w:val="false"/>
          <w:iCs w:val="false"/>
          <w:spacing w:val="-3"/>
          <w:sz w:val="22"/>
          <w:szCs w:val="22"/>
          <w:u w:val="none"/>
        </w:rPr>
        <w:t xml:space="preserve">arretera GC551 Km.0, intersección Camino La </w:t>
      </w:r>
      <w:r>
        <w:rPr>
          <w:rFonts w:cs="IBM Plex Sans" w:ascii="IBM Plex Sans" w:hAnsi="IBM Plex Sans"/>
          <w:b w:val="false"/>
          <w:bCs w:val="false"/>
          <w:i w:val="false"/>
          <w:iCs w:val="false"/>
          <w:sz w:val="22"/>
          <w:szCs w:val="22"/>
          <w:u w:val="none"/>
        </w:rPr>
        <w:t>Charca, en Agüimes, para la correcta utilización y conservación de sus elementos constituyentes,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tanto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materiales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como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naturales,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así</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como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ordenar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uso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 xml:space="preserve">disfrute de la </w:t>
      </w:r>
      <w:r>
        <w:rPr>
          <w:rFonts w:cs="IBM Plex Sans" w:ascii="IBM Plex Sans" w:hAnsi="IBM Plex Sans"/>
          <w:b w:val="false"/>
          <w:bCs w:val="false"/>
          <w:i w:val="false"/>
          <w:iCs w:val="false"/>
          <w:spacing w:val="-3"/>
          <w:sz w:val="22"/>
          <w:szCs w:val="22"/>
          <w:u w:val="none"/>
        </w:rPr>
        <w:t xml:space="preserve">misma </w:t>
      </w:r>
      <w:r>
        <w:rPr>
          <w:rFonts w:cs="IBM Plex Sans" w:ascii="IBM Plex Sans" w:hAnsi="IBM Plex Sans"/>
          <w:b w:val="false"/>
          <w:bCs w:val="false"/>
          <w:i w:val="false"/>
          <w:iCs w:val="false"/>
          <w:sz w:val="22"/>
          <w:szCs w:val="22"/>
          <w:u w:val="none"/>
        </w:rPr>
        <w:t>por los</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pacing w:val="-3"/>
          <w:sz w:val="22"/>
          <w:szCs w:val="22"/>
          <w:u w:val="none"/>
        </w:rPr>
        <w:t>usuarios.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ciudadanos tienen derecho al uso y disfrute del área de acuerdo con lo establecido en las presentes normas y demás disposiciones aplicables.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área tendrá un uso comunitario siempre que cumplan las normas exigidas por la presente Ordenanza, no pudiendo por tanto ser objeto de uso privativo, o con objeto de lucro, salvo colectivos y asociaciones del municipio legalmente constituidas, cuyo beneficio de la actividad revierta en la totalidad del colectivo, vetando así a empresas o particulares que pudieran hacer negocio, es decir, la utilización del mismo con fines particulares, en detrimento de su propia naturaleza y destino. Teniendo que respetar en todo momento el aforo del recinto.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 ACCESO.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El Área Recreativa municipal El Milano es una instalación de acceso libre y gratuito para el uso y disfrute de los ciudadanos.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No obstante lo dispuesto en el apartado anterior, el Ayuntamiento, a través de </w:t>
      </w:r>
      <w:r>
        <w:rPr>
          <w:rFonts w:cs="IBM Plex Sans" w:ascii="IBM Plex Sans" w:hAnsi="IBM Plex Sans"/>
          <w:b w:val="false"/>
          <w:bCs w:val="false"/>
          <w:i w:val="false"/>
          <w:iCs w:val="false"/>
          <w:spacing w:val="-4"/>
          <w:sz w:val="22"/>
          <w:szCs w:val="22"/>
          <w:u w:val="none"/>
        </w:rPr>
        <w:t>los</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responsables y el personal del servicio de las instalaciones, tienen la facultad de negar el </w:t>
      </w:r>
      <w:r>
        <w:rPr>
          <w:rFonts w:cs="IBM Plex Sans" w:ascii="IBM Plex Sans" w:hAnsi="IBM Plex Sans"/>
          <w:b w:val="false"/>
          <w:bCs w:val="false"/>
          <w:i w:val="false"/>
          <w:iCs w:val="false"/>
          <w:spacing w:val="-3"/>
          <w:sz w:val="22"/>
          <w:szCs w:val="22"/>
          <w:u w:val="none"/>
        </w:rPr>
        <w:t xml:space="preserve">acceso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expulsar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aquellas personas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incumplan alguna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normas </w:t>
      </w:r>
      <w:r>
        <w:rPr>
          <w:rFonts w:cs="IBM Plex Sans" w:ascii="IBM Plex Sans" w:hAnsi="IBM Plex Sans"/>
          <w:b w:val="false"/>
          <w:bCs w:val="false"/>
          <w:i w:val="false"/>
          <w:iCs w:val="false"/>
          <w:sz w:val="22"/>
          <w:szCs w:val="22"/>
          <w:u w:val="none"/>
        </w:rPr>
        <w:t>contenidas en esta Ordenanza y en la restante normativa legal aplicable, o cuyas acciones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pongan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peligro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seguridad,</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salud</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tranquilidad</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usuarios.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El acceso a las instalaciones supone la aceptación de las normas contenidas en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4. La utilización del área recreativa municipal para la realización de actividades no programadas por los diferentes departamentos municipales exigirá expresa  autorización del</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 INFORMACIÓN OBLIGATORIA.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el área recreativa municipal figurará con carácter preceptivo y en un lugar visible un cartel con las siguientes informaciones:</w:t>
      </w:r>
    </w:p>
    <w:p>
      <w:pPr>
        <w:pStyle w:val="Normal"/>
        <w:jc w:val="left"/>
        <w:rPr/>
      </w:pPr>
      <w:r>
        <w:rPr>
          <w:rFonts w:cs="IBM Plex Sans" w:ascii="IBM Plex Sans" w:hAnsi="IBM Plex Sans"/>
          <w:b w:val="false"/>
          <w:bCs w:val="false"/>
          <w:i w:val="false"/>
          <w:iCs w:val="false"/>
          <w:sz w:val="22"/>
          <w:szCs w:val="22"/>
          <w:u w:val="none"/>
        </w:rPr>
        <w:t>a) Normas de uso del área</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recreativa.</w:t>
      </w:r>
    </w:p>
    <w:p>
      <w:pPr>
        <w:pStyle w:val="Normal"/>
        <w:jc w:val="left"/>
        <w:rPr/>
      </w:pPr>
      <w:r>
        <w:rPr>
          <w:rFonts w:cs="IBM Plex Sans" w:ascii="IBM Plex Sans" w:hAnsi="IBM Plex Sans"/>
          <w:b w:val="false"/>
          <w:bCs w:val="false"/>
          <w:i w:val="false"/>
          <w:iCs w:val="false"/>
          <w:sz w:val="22"/>
          <w:szCs w:val="22"/>
          <w:u w:val="none"/>
        </w:rPr>
        <w:t>b) Datos técnicos y características de la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pacing w:val="-2"/>
          <w:sz w:val="22"/>
          <w:szCs w:val="22"/>
          <w:u w:val="none"/>
        </w:rPr>
        <w:t>instalación.</w:t>
      </w:r>
    </w:p>
    <w:p>
      <w:pPr>
        <w:pStyle w:val="Normal"/>
        <w:jc w:val="left"/>
        <w:rPr/>
      </w:pPr>
      <w:r>
        <w:rPr>
          <w:rFonts w:cs="IBM Plex Sans" w:ascii="IBM Plex Sans" w:hAnsi="IBM Plex Sans"/>
          <w:b w:val="false"/>
          <w:bCs w:val="false"/>
          <w:i w:val="false"/>
          <w:iCs w:val="false"/>
          <w:sz w:val="22"/>
          <w:szCs w:val="22"/>
          <w:u w:val="none"/>
        </w:rPr>
        <w:t>c) Información</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servicios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emergencia.</w:t>
      </w:r>
    </w:p>
    <w:p>
      <w:pPr>
        <w:pStyle w:val="Normal"/>
        <w:jc w:val="left"/>
        <w:rPr/>
      </w:pPr>
      <w:r>
        <w:rPr>
          <w:rFonts w:cs="IBM Plex Sans" w:ascii="IBM Plex Sans" w:hAnsi="IBM Plex Sans"/>
          <w:b w:val="false"/>
          <w:bCs w:val="false"/>
          <w:i w:val="false"/>
          <w:iCs w:val="false"/>
          <w:sz w:val="22"/>
          <w:szCs w:val="22"/>
          <w:u w:val="none"/>
        </w:rPr>
        <w:t>d) Fechas y horarios de utilización de las</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instalaciones.</w:t>
      </w:r>
    </w:p>
    <w:p>
      <w:pPr>
        <w:pStyle w:val="Normal"/>
        <w:jc w:val="left"/>
        <w:rPr/>
      </w:pPr>
      <w:r>
        <w:rPr>
          <w:rFonts w:cs="IBM Plex Sans" w:ascii="IBM Plex Sans" w:hAnsi="IBM Plex Sans"/>
          <w:b w:val="false"/>
          <w:bCs w:val="false"/>
          <w:i w:val="false"/>
          <w:iCs w:val="false"/>
          <w:sz w:val="22"/>
          <w:szCs w:val="22"/>
          <w:u w:val="none"/>
        </w:rPr>
        <w:t xml:space="preserve">e) La limitación del </w:t>
      </w:r>
      <w:r>
        <w:rPr>
          <w:rFonts w:cs="IBM Plex Sans" w:ascii="IBM Plex Sans" w:hAnsi="IBM Plex Sans"/>
          <w:b w:val="false"/>
          <w:bCs w:val="false"/>
          <w:i w:val="false"/>
          <w:iCs w:val="false"/>
          <w:spacing w:val="-7"/>
          <w:sz w:val="22"/>
          <w:szCs w:val="22"/>
          <w:u w:val="none"/>
        </w:rPr>
        <w:t xml:space="preserve">aforo </w:t>
      </w:r>
      <w:r>
        <w:rPr>
          <w:rFonts w:cs="IBM Plex Sans" w:ascii="IBM Plex Sans" w:hAnsi="IBM Plex Sans"/>
          <w:b w:val="false"/>
          <w:bCs w:val="false"/>
          <w:i w:val="false"/>
          <w:iCs w:val="false"/>
          <w:sz w:val="22"/>
          <w:szCs w:val="22"/>
          <w:u w:val="none"/>
        </w:rPr>
        <w:t>se establece en un máximo de 25 personas por barbacoa, siendo un máximo de 250 personas en el interior del</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recinto.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usuarios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área deberán cumplir </w:t>
      </w:r>
      <w:r>
        <w:rPr>
          <w:rFonts w:cs="IBM Plex Sans" w:ascii="IBM Plex Sans" w:hAnsi="IBM Plex Sans"/>
          <w:b w:val="false"/>
          <w:bCs w:val="false"/>
          <w:i w:val="false"/>
          <w:iCs w:val="false"/>
          <w:sz w:val="22"/>
          <w:szCs w:val="22"/>
          <w:u w:val="none"/>
        </w:rPr>
        <w:t xml:space="preserve">con las </w:t>
      </w:r>
      <w:r>
        <w:rPr>
          <w:rFonts w:cs="IBM Plex Sans" w:ascii="IBM Plex Sans" w:hAnsi="IBM Plex Sans"/>
          <w:b w:val="false"/>
          <w:bCs w:val="false"/>
          <w:i w:val="false"/>
          <w:iCs w:val="false"/>
          <w:spacing w:val="-3"/>
          <w:sz w:val="22"/>
          <w:szCs w:val="22"/>
          <w:u w:val="none"/>
        </w:rPr>
        <w:t xml:space="preserve">instrucciones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figuran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z w:val="22"/>
          <w:szCs w:val="22"/>
          <w:u w:val="none"/>
        </w:rPr>
        <w:t>carteles, anuncios, rótulos y señales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existentes.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5. MANTENIMIENTO Y CONSERVACIÓN.</w:t>
      </w:r>
    </w:p>
    <w:p>
      <w:pPr>
        <w:pStyle w:val="Normal"/>
        <w:jc w:val="left"/>
        <w:rPr/>
      </w:pPr>
      <w:r>
        <w:rPr>
          <w:rFonts w:cs="IBM Plex Sans" w:ascii="IBM Plex Sans" w:hAnsi="IBM Plex Sans"/>
          <w:b w:val="false"/>
          <w:bCs w:val="false"/>
          <w:i w:val="false"/>
          <w:iCs w:val="false"/>
          <w:sz w:val="22"/>
          <w:szCs w:val="22"/>
          <w:u w:val="none"/>
        </w:rPr>
        <w:t>El Ayuntamiento de Agüimes, a través de la Concejalía de Parques y Jardines, velará por el mantenimiento y conservación en las debidas condiciones del área recreativa municipal, con la finalidad de prestar adecuadamente el servicio al que están destinadas las</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instalaciones.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6. FÓRMULAS DE ACCESO.</w:t>
      </w:r>
    </w:p>
    <w:p>
      <w:pPr>
        <w:pStyle w:val="Normal"/>
        <w:jc w:val="left"/>
        <w:rPr/>
      </w:pPr>
      <w:r>
        <w:rPr>
          <w:rFonts w:cs="IBM Plex Sans" w:ascii="IBM Plex Sans" w:hAnsi="IBM Plex Sans"/>
          <w:b w:val="false"/>
          <w:bCs w:val="false"/>
          <w:i w:val="false"/>
          <w:iCs w:val="false"/>
          <w:spacing w:val="-3"/>
          <w:sz w:val="22"/>
          <w:szCs w:val="22"/>
          <w:u w:val="none"/>
        </w:rPr>
        <w:t xml:space="preserve">Acceso </w:t>
      </w:r>
      <w:r>
        <w:rPr>
          <w:rFonts w:cs="IBM Plex Sans" w:ascii="IBM Plex Sans" w:hAnsi="IBM Plex Sans"/>
          <w:b w:val="false"/>
          <w:bCs w:val="false"/>
          <w:i w:val="false"/>
          <w:iCs w:val="false"/>
          <w:sz w:val="22"/>
          <w:szCs w:val="22"/>
          <w:u w:val="none"/>
        </w:rPr>
        <w:t xml:space="preserve">y uso </w:t>
      </w:r>
      <w:r>
        <w:rPr>
          <w:rFonts w:cs="IBM Plex Sans" w:ascii="IBM Plex Sans" w:hAnsi="IBM Plex Sans"/>
          <w:b w:val="false"/>
          <w:bCs w:val="false"/>
          <w:i w:val="false"/>
          <w:iCs w:val="false"/>
          <w:spacing w:val="-3"/>
          <w:sz w:val="22"/>
          <w:szCs w:val="22"/>
          <w:u w:val="none"/>
        </w:rPr>
        <w:t xml:space="preserve">como merendero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pacing w:val="-3"/>
          <w:sz w:val="22"/>
          <w:szCs w:val="22"/>
          <w:u w:val="none"/>
        </w:rPr>
        <w:t>barbacoas.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El acceso al área, el uso de la instalación y elementos como mesas-sillas y socos de barbacoa, se articula mediante las siguientes fórmulas de acceso: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entidades o particulares facilitarán a la Jefatura de la Policía Local, el número de usuarios que van a utilizar la instalación, fecha, hora y el nombre de la persona responsable.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7. PERÍODO Y HORARIOS DE USO.</w:t>
      </w:r>
    </w:p>
    <w:p>
      <w:pPr>
        <w:pStyle w:val="Normal"/>
        <w:jc w:val="left"/>
        <w:rPr/>
      </w:pPr>
      <w:r>
        <w:rPr>
          <w:rFonts w:cs="IBM Plex Sans" w:ascii="IBM Plex Sans" w:hAnsi="IBM Plex Sans"/>
          <w:b w:val="false"/>
          <w:bCs w:val="false"/>
          <w:i w:val="false"/>
          <w:iCs w:val="false"/>
          <w:sz w:val="22"/>
          <w:szCs w:val="22"/>
          <w:u w:val="none"/>
        </w:rPr>
        <w:t>El área recreativa municipal permanecerá abierta en los períodos de tiempo y en los horarios siguientes: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 domingos a jueves, de 8:00 AM a 23:00 PM.</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De viernes a sábados, de 8:00 AM a 01:00 AM.</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8. NORMAS DE CARÁCTER GENERAL.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 carácter general, en todo el recinto: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Se prohíbe la permanencia o tenencia de perros u otros animales.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Se prohíbe introducir motocicletas, vehículos a motor, bicicletas, monopatines y similares.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No están permitidas aquellas acciones o actividades que perturben o molesten la tranquilidad y comodidad del resto de los usuarios (juegos violentos, etc.).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No está permitido realizar acciones que conlleven un deterioro de las superficies de los espacios de ocio y del recinto en general.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 Se prohíbe manipular, cortar, arrancar árboles, arbustos, ramas, flores o cualquier tipo de especies vegetales, así como trepar o subir a los mismos.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6. Los usuarios deberán atender en todo momento las indicaciones del personal del recinto o personal 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7. No se permite comer fuera de los lugares indicados para tal fin.</w:t>
      </w:r>
    </w:p>
    <w:p>
      <w:pPr>
        <w:pStyle w:val="Normal"/>
        <w:jc w:val="left"/>
        <w:rPr/>
      </w:pPr>
      <w:r>
        <w:rPr>
          <w:rFonts w:cs="IBM Plex Sans" w:ascii="IBM Plex Sans" w:hAnsi="IBM Plex Sans"/>
          <w:b w:val="false"/>
          <w:bCs w:val="false"/>
          <w:i w:val="false"/>
          <w:iCs w:val="false"/>
          <w:sz w:val="22"/>
          <w:szCs w:val="22"/>
          <w:u w:val="none"/>
        </w:rPr>
        <w:t>8. Los usuarios ayudarán a mantener limpia la instalación, colaborando con el  personal de la instalación y utilizando las papeleras o contenedores de reciclaje situados en la zona que se encuentra en el exterior para depositar la basura, residuos, plásticos, restos de comida o cualquier otra clase de residuos o</w:t>
      </w:r>
      <w:r>
        <w:rPr>
          <w:rFonts w:cs="IBM Plex Sans" w:ascii="IBM Plex Sans" w:hAnsi="IBM Plex Sans"/>
          <w:b w:val="false"/>
          <w:bCs w:val="false"/>
          <w:i w:val="false"/>
          <w:iCs w:val="false"/>
          <w:spacing w:val="-41"/>
          <w:sz w:val="22"/>
          <w:szCs w:val="22"/>
          <w:u w:val="none"/>
        </w:rPr>
        <w:t xml:space="preserve"> </w:t>
      </w:r>
      <w:r>
        <w:rPr>
          <w:rFonts w:cs="IBM Plex Sans" w:ascii="IBM Plex Sans" w:hAnsi="IBM Plex Sans"/>
          <w:b w:val="false"/>
          <w:bCs w:val="false"/>
          <w:i w:val="false"/>
          <w:iCs w:val="false"/>
          <w:sz w:val="22"/>
          <w:szCs w:val="22"/>
          <w:u w:val="none"/>
        </w:rPr>
        <w:t>basuras.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9. Los usuarios respetarán todo el equipamiento y mobiliario de la instalación.</w:t>
      </w:r>
    </w:p>
    <w:p>
      <w:pPr>
        <w:pStyle w:val="Normal"/>
        <w:jc w:val="left"/>
        <w:rPr/>
      </w:pPr>
      <w:r>
        <w:rPr>
          <w:rFonts w:cs="IBM Plex Sans" w:ascii="IBM Plex Sans" w:hAnsi="IBM Plex Sans"/>
          <w:b w:val="false"/>
          <w:bCs w:val="false"/>
          <w:i w:val="false"/>
          <w:iCs w:val="false"/>
          <w:sz w:val="22"/>
          <w:szCs w:val="22"/>
          <w:u w:val="none"/>
        </w:rPr>
        <w:t xml:space="preserve">10.Los </w:t>
      </w:r>
      <w:r>
        <w:rPr>
          <w:rFonts w:cs="IBM Plex Sans" w:ascii="IBM Plex Sans" w:hAnsi="IBM Plex Sans"/>
          <w:b w:val="false"/>
          <w:bCs w:val="false"/>
          <w:i w:val="false"/>
          <w:iCs w:val="false"/>
          <w:spacing w:val="-3"/>
          <w:sz w:val="22"/>
          <w:szCs w:val="22"/>
          <w:u w:val="none"/>
        </w:rPr>
        <w:t xml:space="preserve">usuarios deberán respetar </w:t>
      </w:r>
      <w:r>
        <w:rPr>
          <w:rFonts w:cs="IBM Plex Sans" w:ascii="IBM Plex Sans" w:hAnsi="IBM Plex Sans"/>
          <w:b w:val="false"/>
          <w:bCs w:val="false"/>
          <w:i w:val="false"/>
          <w:iCs w:val="false"/>
          <w:sz w:val="22"/>
          <w:szCs w:val="22"/>
          <w:u w:val="none"/>
        </w:rPr>
        <w:t>los  espacios destinados a actividades organizadas por el</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11. Los usuarios respetarán los horarios de funcionamiento de la instalación.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12. Los usuarios deberán mantener en todo momento la adecuada conducta, con respeto de las instalaciones y de los restantes usuarios y sus espacios.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13. Los usuarios deberán comunicar de forma inmediata al Ayuntamiento cualquier deterioro o anomalía que ponga en peligro la integridad de las personas o el correcto funcionamiento de la instalación.</w:t>
      </w:r>
    </w:p>
    <w:p>
      <w:pPr>
        <w:pStyle w:val="Normal"/>
        <w:jc w:val="left"/>
        <w:rPr/>
      </w:pPr>
      <w:r>
        <w:rPr>
          <w:rFonts w:cs="IBM Plex Sans" w:ascii="IBM Plex Sans" w:hAnsi="IBM Plex Sans"/>
          <w:b w:val="false"/>
          <w:bCs w:val="false"/>
          <w:i w:val="false"/>
          <w:iCs w:val="false"/>
          <w:sz w:val="22"/>
          <w:szCs w:val="22"/>
          <w:u w:val="none"/>
        </w:rPr>
        <w:t xml:space="preserve">14. No está </w:t>
      </w:r>
      <w:r>
        <w:rPr>
          <w:rFonts w:cs="IBM Plex Sans" w:ascii="IBM Plex Sans" w:hAnsi="IBM Plex Sans"/>
          <w:b w:val="false"/>
          <w:bCs w:val="false"/>
          <w:i w:val="false"/>
          <w:iCs w:val="false"/>
          <w:spacing w:val="-3"/>
          <w:sz w:val="22"/>
          <w:szCs w:val="22"/>
          <w:u w:val="none"/>
        </w:rPr>
        <w:t xml:space="preserve">permitido hacer fuego </w:t>
      </w:r>
      <w:r>
        <w:rPr>
          <w:rFonts w:cs="IBM Plex Sans" w:ascii="IBM Plex Sans" w:hAnsi="IBM Plex Sans"/>
          <w:b w:val="false"/>
          <w:bCs w:val="false"/>
          <w:i w:val="false"/>
          <w:iCs w:val="false"/>
          <w:sz w:val="22"/>
          <w:szCs w:val="22"/>
          <w:u w:val="none"/>
        </w:rPr>
        <w:t xml:space="preserve">en la </w:t>
      </w:r>
      <w:r>
        <w:rPr>
          <w:rFonts w:cs="IBM Plex Sans" w:ascii="IBM Plex Sans" w:hAnsi="IBM Plex Sans"/>
          <w:b w:val="false"/>
          <w:bCs w:val="false"/>
          <w:i w:val="false"/>
          <w:iCs w:val="false"/>
          <w:spacing w:val="-3"/>
          <w:sz w:val="22"/>
          <w:szCs w:val="22"/>
          <w:u w:val="none"/>
        </w:rPr>
        <w:t xml:space="preserve">instalación, salvo </w:t>
      </w:r>
      <w:r>
        <w:rPr>
          <w:rFonts w:cs="IBM Plex Sans" w:ascii="IBM Plex Sans" w:hAnsi="IBM Plex Sans"/>
          <w:b w:val="false"/>
          <w:bCs w:val="false"/>
          <w:i w:val="false"/>
          <w:iCs w:val="false"/>
          <w:sz w:val="22"/>
          <w:szCs w:val="22"/>
          <w:u w:val="none"/>
        </w:rPr>
        <w:t xml:space="preserve">en los </w:t>
      </w:r>
      <w:r>
        <w:rPr>
          <w:rFonts w:cs="IBM Plex Sans" w:ascii="IBM Plex Sans" w:hAnsi="IBM Plex Sans"/>
          <w:b w:val="false"/>
          <w:bCs w:val="false"/>
          <w:i w:val="false"/>
          <w:iCs w:val="false"/>
          <w:spacing w:val="-3"/>
          <w:sz w:val="22"/>
          <w:szCs w:val="22"/>
          <w:u w:val="none"/>
        </w:rPr>
        <w:t>lugares habilitados</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pacing w:val="-3"/>
          <w:sz w:val="22"/>
          <w:szCs w:val="22"/>
          <w:u w:val="none"/>
        </w:rPr>
        <w:t>para dicho</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pacing w:val="-3"/>
          <w:sz w:val="22"/>
          <w:szCs w:val="22"/>
          <w:u w:val="none"/>
        </w:rPr>
        <w:t>uso.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15. No se permite la instalación de colchonetas y todo tipo de hinchables.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16. Se prohíbe utilizar el recinto de forma privada en exclusiva, excepto colectivos, colegios, institutos, centros educativos y asociaciones del municipio legalmente constituidos.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17. Los vehículos se estacionarán en la zona señalizada para ello.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18. Se permite poner música mediante aparatos de sonido hasta las 23:00 horas dentro de los decibelios permitidos en la Ordenanza Municipal de Protección del medio ambiente urbano frente a ruidos y vibraciones y respetando a los demás usuarios, no permitiéndose enchufar a electricidad o aerogeneradores.</w:t>
      </w:r>
    </w:p>
    <w:p>
      <w:pPr>
        <w:pStyle w:val="Normal"/>
        <w:jc w:val="left"/>
        <w:rPr/>
      </w:pPr>
      <w:r>
        <w:rPr>
          <w:rFonts w:cs="IBM Plex Sans" w:ascii="IBM Plex Sans" w:hAnsi="IBM Plex Sans"/>
          <w:b w:val="false"/>
          <w:bCs w:val="false"/>
          <w:i w:val="false"/>
          <w:iCs w:val="false"/>
          <w:sz w:val="22"/>
          <w:szCs w:val="22"/>
          <w:u w:val="none"/>
        </w:rPr>
        <w:t xml:space="preserve">19. Se </w:t>
      </w:r>
      <w:r>
        <w:rPr>
          <w:rFonts w:cs="IBM Plex Sans" w:ascii="IBM Plex Sans" w:hAnsi="IBM Plex Sans"/>
          <w:b w:val="false"/>
          <w:bCs w:val="false"/>
          <w:i w:val="false"/>
          <w:iCs w:val="false"/>
          <w:spacing w:val="-3"/>
          <w:sz w:val="22"/>
          <w:szCs w:val="22"/>
          <w:u w:val="none"/>
        </w:rPr>
        <w:t xml:space="preserve">utilizará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mobiliario </w:t>
      </w:r>
      <w:r>
        <w:rPr>
          <w:rFonts w:cs="IBM Plex Sans" w:ascii="IBM Plex Sans" w:hAnsi="IBM Plex Sans"/>
          <w:b w:val="false"/>
          <w:bCs w:val="false"/>
          <w:i w:val="false"/>
          <w:iCs w:val="false"/>
          <w:sz w:val="22"/>
          <w:szCs w:val="22"/>
          <w:u w:val="none"/>
        </w:rPr>
        <w:t xml:space="preserve">que se encuentra en las instalaciones, no </w:t>
      </w:r>
      <w:r>
        <w:rPr>
          <w:rFonts w:cs="IBM Plex Sans" w:ascii="IBM Plex Sans" w:hAnsi="IBM Plex Sans"/>
          <w:b w:val="false"/>
          <w:bCs w:val="false"/>
          <w:i w:val="false"/>
          <w:iCs w:val="false"/>
          <w:spacing w:val="-3"/>
          <w:sz w:val="22"/>
          <w:szCs w:val="22"/>
          <w:u w:val="none"/>
        </w:rPr>
        <w:t>obstante se</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z w:val="22"/>
          <w:szCs w:val="22"/>
          <w:u w:val="none"/>
        </w:rPr>
        <w:t>permite traer una mesa más por barbacoa no superior a 2,00 metros, sillas y sombrillas siempre y cuando no se invada el espacio asignado a otros usuarios.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20. Se podrá utilizar hornillos de gas para la elaboración de alimentos.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9. NORMAS EN LAS ZONAS DESTINADAS A COMIDA Y JUEGOS.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Únicamente se podrá comer:</w:t>
      </w:r>
    </w:p>
    <w:p>
      <w:pPr>
        <w:pStyle w:val="Normal"/>
        <w:jc w:val="left"/>
        <w:rPr/>
      </w:pPr>
      <w:r>
        <w:rPr>
          <w:rFonts w:cs="IBM Plex Sans" w:ascii="IBM Plex Sans" w:hAnsi="IBM Plex Sans"/>
          <w:b w:val="false"/>
          <w:bCs w:val="false"/>
          <w:i w:val="false"/>
          <w:iCs w:val="false"/>
          <w:sz w:val="22"/>
          <w:szCs w:val="22"/>
          <w:u w:val="none"/>
        </w:rPr>
        <w:t>En la zona de mesas-bancos y socos de barbacoas.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zona destinada a juegos estará señalizada dentro del recinto, y se encuentra en la parte naciente del mismo.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10. PROCEDIMIENTO.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interesados deberán solicitar, en las dependencias municipales u oficina que se designe para dicho trámite, la autorización para utilizar el lugar de que se trate.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Solicitud, que deberá expresar, datos del interesado, actividad a desarrollar, fecha, horario y número de asistentes, así como declaración responsable relativa al cuidado del espacio público dadas las limitaciones en el aforo y características de cada uno de los bienes municipales.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tramitación de la solicitud se realizará en las oficinas de la Policía Local, la cual le informará  al momento su disponibilidad.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Ayuntamiento podrá denegar aquellas solicitudes, que no se ajusten a los requisitos establecidos en la presente Ordenanza o que, los actos a realizar no respondan a la finalidad socio-cultural de este 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11. ACTIVIDADES ORGANIZADAS POR EL AYUNTAMIENTO.</w:t>
      </w:r>
    </w:p>
    <w:p>
      <w:pPr>
        <w:pStyle w:val="Normal"/>
        <w:jc w:val="left"/>
        <w:rPr/>
      </w:pPr>
      <w:r>
        <w:rPr>
          <w:rFonts w:cs="IBM Plex Sans" w:ascii="IBM Plex Sans" w:hAnsi="IBM Plex Sans"/>
          <w:b w:val="false"/>
          <w:bCs w:val="false"/>
          <w:i w:val="false"/>
          <w:iCs w:val="false"/>
          <w:sz w:val="22"/>
          <w:szCs w:val="22"/>
          <w:u w:val="none"/>
        </w:rPr>
        <w:t>1. Las actividades programadas por el Ayuntamiento tendrán prioridad sobre el uso de las</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pacing w:val="-4"/>
          <w:sz w:val="22"/>
          <w:szCs w:val="22"/>
          <w:u w:val="none"/>
        </w:rPr>
        <w:t>instalaciones.</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2. Los usuarios que se encuentren inscritos en alguna actividad programada atenderán a los consejos y normas de los profesores o monitores, respetando en todo momento la normativa</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vigente.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Durante la celebración de actividades organizadas por el Ayuntamiento, los espacios o zonas reservadas para este fin no podrán ser utilizadas por personas ajenas a estas </w:t>
      </w:r>
      <w:r>
        <w:rPr>
          <w:rFonts w:cs="IBM Plex Sans" w:ascii="IBM Plex Sans" w:hAnsi="IBM Plex Sans"/>
          <w:b w:val="false"/>
          <w:bCs w:val="false"/>
          <w:i w:val="false"/>
          <w:iCs w:val="false"/>
          <w:spacing w:val="-2"/>
          <w:sz w:val="22"/>
          <w:szCs w:val="22"/>
          <w:u w:val="none"/>
        </w:rPr>
        <w:t>actividades.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12. PROCEDIMIENTO SANCIONADOR.</w:t>
      </w:r>
    </w:p>
    <w:p>
      <w:pPr>
        <w:pStyle w:val="Normal"/>
        <w:jc w:val="left"/>
        <w:rPr/>
      </w:pPr>
      <w:r>
        <w:rPr>
          <w:rFonts w:cs="IBM Plex Sans" w:ascii="IBM Plex Sans" w:hAnsi="IBM Plex Sans"/>
          <w:b w:val="false"/>
          <w:bCs w:val="false"/>
          <w:i w:val="false"/>
          <w:iCs w:val="false"/>
          <w:sz w:val="22"/>
          <w:szCs w:val="22"/>
          <w:u w:val="none"/>
        </w:rPr>
        <w:t xml:space="preserve">El procedimiento sancionador de la Ordenanza se regirá por lo establecido en la </w:t>
      </w:r>
      <w:r>
        <w:rPr>
          <w:rFonts w:cs="IBM Plex Sans" w:ascii="IBM Plex Sans" w:hAnsi="IBM Plex Sans"/>
          <w:b w:val="false"/>
          <w:bCs w:val="false"/>
          <w:i w:val="false"/>
          <w:iCs w:val="false"/>
          <w:color w:val="000000"/>
          <w:sz w:val="22"/>
          <w:szCs w:val="22"/>
          <w:u w:val="none"/>
        </w:rPr>
        <w:t>Ley 30/1992, de 26 de noviembre de Régimen Jurídico de las Administraciones Públicas y del Procedimiento Administrativo Común, modificada por la Ley 4/1999, de 13 de enero, y po</w:t>
      </w:r>
      <w:r>
        <w:rPr>
          <w:rFonts w:cs="IBM Plex Sans" w:ascii="IBM Plex Sans" w:hAnsi="IBM Plex Sans"/>
          <w:b w:val="false"/>
          <w:bCs w:val="false"/>
          <w:i w:val="false"/>
          <w:iCs w:val="false"/>
          <w:sz w:val="22"/>
          <w:szCs w:val="22"/>
          <w:u w:val="none"/>
        </w:rPr>
        <w:t>r el Reglamento de Procedimiento para el Ejercicio de la Potestad Sancionadora, aprobado por Real Decreto 1.398/1994, de 4 de agosto.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13. INFRACCIONES.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infracciones de esta Ordenanza tendrán la consideración de faltas leves, graves y muy graves.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Serán faltas muy graves las infracciones que supongan:</w:t>
      </w:r>
    </w:p>
    <w:p>
      <w:pPr>
        <w:pStyle w:val="Normal"/>
        <w:jc w:val="left"/>
        <w:rPr/>
      </w:pPr>
      <w:r>
        <w:rPr>
          <w:rFonts w:cs="IBM Plex Sans" w:ascii="IBM Plex Sans" w:hAnsi="IBM Plex Sans"/>
          <w:b w:val="false"/>
          <w:bCs w:val="false"/>
          <w:i w:val="false"/>
          <w:iCs w:val="false"/>
          <w:sz w:val="22"/>
          <w:szCs w:val="22"/>
          <w:u w:val="none"/>
        </w:rPr>
        <w:t xml:space="preserve">1. Una perturbación relevante de la convivencia que afecte de manera </w:t>
      </w:r>
      <w:r>
        <w:rPr>
          <w:rFonts w:cs="IBM Plex Sans" w:ascii="IBM Plex Sans" w:hAnsi="IBM Plex Sans"/>
          <w:b w:val="false"/>
          <w:bCs w:val="false"/>
          <w:i w:val="false"/>
          <w:iCs w:val="false"/>
          <w:spacing w:val="-2"/>
          <w:sz w:val="22"/>
          <w:szCs w:val="22"/>
          <w:u w:val="none"/>
        </w:rPr>
        <w:t xml:space="preserve">grave, </w:t>
      </w:r>
      <w:r>
        <w:rPr>
          <w:rFonts w:cs="IBM Plex Sans" w:ascii="IBM Plex Sans" w:hAnsi="IBM Plex Sans"/>
          <w:b w:val="false"/>
          <w:bCs w:val="false"/>
          <w:i w:val="false"/>
          <w:iCs w:val="false"/>
          <w:sz w:val="22"/>
          <w:szCs w:val="22"/>
          <w:u w:val="none"/>
        </w:rPr>
        <w:t>inmediata y directa a la tranquilidad o al ejercicio de derechos legítimos de otras personas, al normal desarrollo de actividades de toda clase conformes con la normativa aplicable o a la salubridad u ornato públicos, siempre que se trate de conductas no subsumibles en los tipos previstos en el capítulo IV de la Ley 1/1992, de 21 de febrero, de Protección de la Seguridad</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Ciudadana.</w:t>
      </w:r>
    </w:p>
    <w:p>
      <w:pPr>
        <w:pStyle w:val="Normal"/>
        <w:jc w:val="left"/>
        <w:rPr/>
      </w:pPr>
      <w:r>
        <w:rPr>
          <w:rFonts w:cs="IBM Plex Sans" w:ascii="IBM Plex Sans" w:hAnsi="IBM Plex Sans"/>
          <w:b w:val="false"/>
          <w:bCs w:val="false"/>
          <w:i w:val="false"/>
          <w:iCs w:val="false"/>
          <w:sz w:val="22"/>
          <w:szCs w:val="22"/>
          <w:u w:val="none"/>
        </w:rPr>
        <w:t xml:space="preserve">2. El impedimento del uso de un espacio público por otra u otras personas </w:t>
      </w:r>
      <w:r>
        <w:rPr>
          <w:rFonts w:cs="IBM Plex Sans" w:ascii="IBM Plex Sans" w:hAnsi="IBM Plex Sans"/>
          <w:b w:val="false"/>
          <w:bCs w:val="false"/>
          <w:i w:val="false"/>
          <w:iCs w:val="false"/>
          <w:spacing w:val="-2"/>
          <w:sz w:val="22"/>
          <w:szCs w:val="22"/>
          <w:u w:val="none"/>
        </w:rPr>
        <w:t xml:space="preserve">con  </w:t>
      </w:r>
      <w:r>
        <w:rPr>
          <w:rFonts w:cs="IBM Plex Sans" w:ascii="IBM Plex Sans" w:hAnsi="IBM Plex Sans"/>
          <w:b w:val="false"/>
          <w:bCs w:val="false"/>
          <w:i w:val="false"/>
          <w:iCs w:val="false"/>
          <w:sz w:val="22"/>
          <w:szCs w:val="22"/>
          <w:u w:val="none"/>
        </w:rPr>
        <w:t>derecho a su</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2"/>
          <w:sz w:val="22"/>
          <w:szCs w:val="22"/>
          <w:u w:val="none"/>
        </w:rPr>
        <w:t>utilización.</w:t>
      </w:r>
    </w:p>
    <w:p>
      <w:pPr>
        <w:pStyle w:val="Normal"/>
        <w:jc w:val="left"/>
        <w:rPr/>
      </w:pPr>
      <w:r>
        <w:rPr>
          <w:rFonts w:cs="IBM Plex Sans" w:ascii="IBM Plex Sans" w:hAnsi="IBM Plex Sans"/>
          <w:b w:val="false"/>
          <w:bCs w:val="false"/>
          <w:i w:val="false"/>
          <w:iCs w:val="false"/>
          <w:sz w:val="22"/>
          <w:szCs w:val="22"/>
          <w:u w:val="none"/>
        </w:rPr>
        <w:t xml:space="preserve">3. Los actos de deterioro grave y relevante de espacios públicos o de cualquiera de sus instalaciones y </w:t>
      </w:r>
      <w:r>
        <w:rPr>
          <w:rFonts w:cs="IBM Plex Sans" w:ascii="IBM Plex Sans" w:hAnsi="IBM Plex Sans"/>
          <w:b w:val="false"/>
          <w:bCs w:val="false"/>
          <w:i w:val="false"/>
          <w:iCs w:val="false"/>
          <w:spacing w:val="-3"/>
          <w:sz w:val="22"/>
          <w:szCs w:val="22"/>
          <w:u w:val="none"/>
        </w:rPr>
        <w:t xml:space="preserve">elementos, </w:t>
      </w:r>
      <w:r>
        <w:rPr>
          <w:rFonts w:cs="IBM Plex Sans" w:ascii="IBM Plex Sans" w:hAnsi="IBM Plex Sans"/>
          <w:b w:val="false"/>
          <w:bCs w:val="false"/>
          <w:i w:val="false"/>
          <w:iCs w:val="false"/>
          <w:sz w:val="22"/>
          <w:szCs w:val="22"/>
          <w:u w:val="none"/>
        </w:rPr>
        <w:t>sean muebles o inmuebles, no derivados de alteraciones de la seguridad</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ciudadana.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4. El incumplimiento de la limitación del aforo.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 Encender fuego en lugar y fecha no autorizado.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6. Circular por el área con medios motorizados.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7. La puesta en funcionamiento de grupos electrógenos.</w:t>
      </w:r>
    </w:p>
    <w:p>
      <w:pPr>
        <w:pStyle w:val="Normal"/>
        <w:jc w:val="left"/>
        <w:rPr/>
      </w:pPr>
      <w:r>
        <w:rPr>
          <w:rFonts w:cs="IBM Plex Sans" w:ascii="IBM Plex Sans" w:hAnsi="IBM Plex Sans"/>
          <w:b w:val="false"/>
          <w:bCs w:val="false"/>
          <w:i w:val="false"/>
          <w:iCs w:val="false"/>
          <w:sz w:val="22"/>
          <w:szCs w:val="22"/>
          <w:u w:val="none"/>
        </w:rPr>
        <w:t xml:space="preserve">8. El uso de las </w:t>
      </w:r>
      <w:r>
        <w:rPr>
          <w:rFonts w:cs="IBM Plex Sans" w:ascii="IBM Plex Sans" w:hAnsi="IBM Plex Sans"/>
          <w:b w:val="false"/>
          <w:bCs w:val="false"/>
          <w:i w:val="false"/>
          <w:iCs w:val="false"/>
          <w:spacing w:val="-3"/>
          <w:sz w:val="22"/>
          <w:szCs w:val="22"/>
          <w:u w:val="none"/>
        </w:rPr>
        <w:t xml:space="preserve">instalaciones para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organización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actos privados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fines  </w:t>
      </w:r>
      <w:r>
        <w:rPr>
          <w:rFonts w:cs="IBM Plex Sans" w:ascii="IBM Plex Sans" w:hAnsi="IBM Plex Sans"/>
          <w:b w:val="false"/>
          <w:bCs w:val="false"/>
          <w:i w:val="false"/>
          <w:iCs w:val="false"/>
          <w:sz w:val="22"/>
          <w:szCs w:val="22"/>
          <w:u w:val="none"/>
        </w:rPr>
        <w:t>lucrativos.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9. Las actividades que atenten directamente contra la conservación de los elementos naturales de la fauna y flora y/o de los elementos constitutivos del  área  Recreativa.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10. La reincidencia en la comisión de faltas graves.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Serán faltas graves: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Actos que impliquen deterioro o menoscabo de las instalaciones y equipamiento del Área Recreativa y/o contra los elementos naturales y/o la flora o fauna.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El incumplimiento, activo o pasivo, de los requerimientos en orden a la preservación de la zona.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La obstrucción u omisión de la colaboración necesaria a la Autoridad Municipal que lleve a cabo la inspección.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Estacionar fuera de las zonas habilitadas para tal fin.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 La realización de acampadas, montaje de toldos y carpas supletorias sin la correspondiente autorización.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6. El uso de las instalaciones sin la correspondiente autorización administrativa.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7. Utilizar materiales o fuentes de combustión, plásticos, aceites y otros combustibles que supongan un riesgo potencial de propagación del fuego.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8. El depósito y/o abandono de residuos contaminantes y/o peligrosos u objetos punzantes y/o cortantes que pudieran causar riesgos a los usuarios.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9. Las que constituyan reincidencia en faltas leves.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Serán faltas leves: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El vertido o abandono de objetos, residuos sólidos, etc., fuera de los lugares destinados a tal fin.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Alterar las normas de convivencia para el común disfrute del área, con actuaciones que perjudiquen a los demás usuarios.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  La permanencia o tenencia de perros u otros animales dentro del recinto.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 Los demás actos de naturaleza análoga que no sean constitutivos de faltas graves o muy graves.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14. SANCIONES.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Salvo previsión legal distinta, las sanciones por infracción de Ordenanzas locales deberán respetar las siguientes cuantías: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Infracciones muy graves: Multa de 1.501 euros hasta 3.000 euros.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Infracciones graves: Multa de 751 euros hasta 1.500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Infracciones leves: Multa hasta 750 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15. GRADUACIÓN.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la graduación de las respectivas sanciones, se valorarán conjuntamente las siguientes circunstancias:</w:t>
      </w:r>
    </w:p>
    <w:p>
      <w:pPr>
        <w:pStyle w:val="Normal"/>
        <w:jc w:val="left"/>
        <w:rPr/>
      </w:pPr>
      <w:r>
        <w:rPr>
          <w:rFonts w:cs="IBM Plex Sans" w:ascii="IBM Plex Sans" w:hAnsi="IBM Plex Sans"/>
          <w:b w:val="false"/>
          <w:bCs w:val="false"/>
          <w:i w:val="false"/>
          <w:iCs w:val="false"/>
          <w:spacing w:val="-3"/>
          <w:sz w:val="22"/>
          <w:szCs w:val="22"/>
          <w:u w:val="none"/>
        </w:rPr>
        <w:t xml:space="preserve">- Naturaleza </w:t>
      </w:r>
      <w:r>
        <w:rPr>
          <w:rFonts w:cs="IBM Plex Sans" w:ascii="IBM Plex Sans" w:hAnsi="IBM Plex Sans"/>
          <w:b w:val="false"/>
          <w:bCs w:val="false"/>
          <w:i w:val="false"/>
          <w:iCs w:val="false"/>
          <w:sz w:val="22"/>
          <w:szCs w:val="22"/>
          <w:u w:val="none"/>
        </w:rPr>
        <w:t>de la</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pacing w:val="-4"/>
          <w:sz w:val="22"/>
          <w:szCs w:val="22"/>
          <w:u w:val="none"/>
        </w:rPr>
        <w:t>infracción.</w:t>
      </w:r>
    </w:p>
    <w:p>
      <w:pPr>
        <w:pStyle w:val="Normal"/>
        <w:jc w:val="left"/>
        <w:rPr/>
      </w:pPr>
      <w:r>
        <w:rPr>
          <w:rFonts w:cs="IBM Plex Sans" w:ascii="IBM Plex Sans" w:hAnsi="IBM Plex Sans"/>
          <w:b w:val="false"/>
          <w:bCs w:val="false"/>
          <w:i w:val="false"/>
          <w:iCs w:val="false"/>
          <w:sz w:val="22"/>
          <w:szCs w:val="22"/>
          <w:u w:val="none"/>
        </w:rPr>
        <w:t>- Grado de peligro para los</w:t>
      </w:r>
      <w:r>
        <w:rPr>
          <w:rFonts w:cs="IBM Plex Sans" w:ascii="IBM Plex Sans" w:hAnsi="IBM Plex Sans"/>
          <w:b w:val="false"/>
          <w:bCs w:val="false"/>
          <w:i w:val="false"/>
          <w:iCs w:val="false"/>
          <w:spacing w:val="-41"/>
          <w:sz w:val="22"/>
          <w:szCs w:val="22"/>
          <w:u w:val="none"/>
        </w:rPr>
        <w:t xml:space="preserve"> </w:t>
      </w:r>
      <w:r>
        <w:rPr>
          <w:rFonts w:cs="IBM Plex Sans" w:ascii="IBM Plex Sans" w:hAnsi="IBM Plex Sans"/>
          <w:b w:val="false"/>
          <w:bCs w:val="false"/>
          <w:i w:val="false"/>
          <w:iCs w:val="false"/>
          <w:sz w:val="22"/>
          <w:szCs w:val="22"/>
          <w:u w:val="none"/>
        </w:rPr>
        <w:t>bienes.</w:t>
      </w:r>
    </w:p>
    <w:p>
      <w:pPr>
        <w:pStyle w:val="Normal"/>
        <w:jc w:val="left"/>
        <w:rPr/>
      </w:pPr>
      <w:r>
        <w:rPr>
          <w:rFonts w:cs="IBM Plex Sans" w:ascii="IBM Plex Sans" w:hAnsi="IBM Plex Sans"/>
          <w:b w:val="false"/>
          <w:bCs w:val="false"/>
          <w:i w:val="false"/>
          <w:iCs w:val="false"/>
          <w:sz w:val="22"/>
          <w:szCs w:val="22"/>
          <w:u w:val="none"/>
        </w:rPr>
        <w:t>- Grado de</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intencionalidad.</w:t>
      </w:r>
    </w:p>
    <w:p>
      <w:pPr>
        <w:pStyle w:val="Normal"/>
        <w:jc w:val="left"/>
        <w:rPr/>
      </w:pPr>
      <w:r>
        <w:rPr>
          <w:rFonts w:cs="IBM Plex Sans" w:ascii="IBM Plex Sans" w:hAnsi="IBM Plex Sans"/>
          <w:b w:val="false"/>
          <w:bCs w:val="false"/>
          <w:i w:val="false"/>
          <w:iCs w:val="false"/>
          <w:sz w:val="22"/>
          <w:szCs w:val="22"/>
          <w:u w:val="none"/>
        </w:rPr>
        <w:t>- Reincidencia o</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pacing w:val="-2"/>
          <w:sz w:val="22"/>
          <w:szCs w:val="22"/>
          <w:u w:val="none"/>
        </w:rPr>
        <w:t>reiteración.</w:t>
      </w:r>
    </w:p>
    <w:p>
      <w:pPr>
        <w:pStyle w:val="Normal"/>
        <w:jc w:val="left"/>
        <w:rPr/>
      </w:pPr>
      <w:r>
        <w:rPr>
          <w:rFonts w:cs="IBM Plex Sans" w:ascii="IBM Plex Sans" w:hAnsi="IBM Plex Sans"/>
          <w:b w:val="false"/>
          <w:bCs w:val="false"/>
          <w:i w:val="false"/>
          <w:iCs w:val="false"/>
          <w:sz w:val="22"/>
          <w:szCs w:val="22"/>
          <w:u w:val="none"/>
        </w:rPr>
        <w:t>- Gravedad del daño</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causado.</w:t>
      </w:r>
    </w:p>
    <w:p>
      <w:pPr>
        <w:pStyle w:val="Normal"/>
        <w:jc w:val="left"/>
        <w:rPr/>
      </w:pPr>
      <w:r>
        <w:rPr>
          <w:rFonts w:cs="IBM Plex Sans" w:ascii="IBM Plex Sans" w:hAnsi="IBM Plex Sans"/>
          <w:b w:val="false"/>
          <w:bCs w:val="false"/>
          <w:i w:val="false"/>
          <w:iCs w:val="false"/>
          <w:sz w:val="22"/>
          <w:szCs w:val="22"/>
          <w:u w:val="none"/>
        </w:rPr>
        <w:t>- Otras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circunstancias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atenuantes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agravantes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consideren.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16. RESARCIMIENTO DE DAÑOS Y PERJUICIOS.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sanciones serán independientes de la obligación de reparar el daño causado y de restituir lo que se hubiese usurpado en los bienes de propiedad municipal, cuya evaluación corresponderá efectuar a los Servicios Técnicos Municipales, así como de otras responsabilidades en que haya podido incurrirse.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aplicación de las sanciones establecidas en esta Ordenanza no excluye, respecto a los actos de desobediencia o resistencia a los Agentes de la Policía Local y otros tipificados por la legislación penal.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17. PRESCRIPCIÓN.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infracciones muy graves prescriben a tres años, las infracciones graves a los dos años y las infracciones leves a los seis meses.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sanciones impuestas por faltas muy graves prescriben a los tres años, las impuestas por faltas graves a los dos años y las impuestas por faltas leves al año.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18. RESPONSABLES.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 los efectos previstos en la Ordenanza son responsables de las infracciones cometidas directamente los que las realicen por actos propios, o, por aquellos de quienes se deba responder de acuerdo con la legislación.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Tratándose de personas jurídicas o cualquier tipo de asociación, tenga o no personalidad jurídica, la responsabilidad se atribuirá a las mismas, y en su caso, a la persona que las represente.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ambos casos, subsidiariamente serán responsables quienes presenten la solicitud.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los términos previstos en la presente Ordenanza, podrá exigirse la responsabilidad solidaria cuando la imputación y sanción de la infracción se residencie en dos o más personas físicas o jurídicas.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DISPOSICIÓN ADICIONAL.</w:t>
      </w:r>
    </w:p>
    <w:p>
      <w:pPr>
        <w:pStyle w:val="Normal"/>
        <w:jc w:val="left"/>
        <w:rPr/>
      </w:pP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4"/>
          <w:sz w:val="22"/>
          <w:szCs w:val="22"/>
          <w:u w:val="none"/>
        </w:rPr>
        <w:t>faculta</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a la Alcaldía-Presidencia para interpretar, aclarar o desarrollar las disposiciones que se recogen en el texto de la presente Ordenanza, así como dictar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 xml:space="preserve">disposiciones complementarias para su mejor aplicación, sin perjuicio de los recursos que en vía jurisdiccional fuesen </w:t>
      </w:r>
      <w:r>
        <w:rPr>
          <w:rFonts w:cs="IBM Plex Sans" w:ascii="IBM Plex Sans" w:hAnsi="IBM Plex Sans"/>
          <w:b w:val="false"/>
          <w:bCs w:val="false"/>
          <w:i w:val="false"/>
          <w:iCs w:val="false"/>
          <w:spacing w:val="-2"/>
          <w:sz w:val="22"/>
          <w:szCs w:val="22"/>
          <w:u w:val="none"/>
        </w:rPr>
        <w:t>procedentes.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DISPOSICIÓN DEROGATORIA.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Quedan derogadas cuantas normas de igual o inferior rango se opongan o contradigan el contenido de la presente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DISPOSICIÓN FINAL.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presente Ordenanza entrará en vigor a partir de la fecha en que se publique su texto íntegro en el Boletín Oficial de la Provincia y haya transcurrido el plazo previsto en el apartado 2 del artículo 65 de la Ley Reguladora de las Bases del Régimen Local, por remisión de lo dispuesto en el apartado 2 del artículo 70 de la misma, permaneciendo en vigor hasta su modificación o derogación expresas.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Roboto Slab">
    <w:charset w:val="00"/>
    <w:family w:val="roman"/>
    <w:pitch w:val="variable"/>
  </w:font>
  <w:font w:name="IBM Plex San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8">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17</TotalTime>
  <Application>LibreOffice/6.4.3.2$Windows_X86_64 LibreOffice_project/747b5d0ebf89f41c860ec2a39efd7cb15b54f2d8</Application>
  <Pages>7</Pages>
  <Words>2300</Words>
  <Characters>12418</Characters>
  <CharactersWithSpaces>14612</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2021-01-19T14:48:06Z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