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i w:val="false"/>
          <w:i w:val="false"/>
          <w:iCs w:val="false"/>
          <w:color w:val="2A265A"/>
          <w:sz w:val="36"/>
          <w:szCs w:val="36"/>
          <w:u w:val="none"/>
        </w:rPr>
      </w:pPr>
      <w:r>
        <w:rPr>
          <w:rFonts w:cs="Roboto Slab" w:ascii="Roboto Slab" w:hAnsi="Roboto Slab"/>
          <w:b/>
          <w:bCs/>
          <w:i w:val="false"/>
          <w:iCs w:val="false"/>
          <w:color w:val="2A265A"/>
          <w:sz w:val="36"/>
          <w:szCs w:val="36"/>
          <w:u w:val="none"/>
        </w:rPr>
        <w:t>ORDENANZA REGULADORA DE LA AUTORIZACIÓN DE RESERVAS DE PLAZAS DE ESTACIONAMIENTO JUNTO AL DOMICILIO DE PERSONAS CON MOVILIDAD REDUCIDA</w:t>
      </w:r>
    </w:p>
    <w:p>
      <w:pPr>
        <w:pStyle w:val="Normal"/>
        <w:jc w:val="left"/>
        <w:rPr/>
      </w:pPr>
      <w:r>
        <w:rPr>
          <w:rFonts w:cs="Roboto Slab" w:ascii="Roboto Slab" w:hAnsi="Roboto Slab"/>
          <w:b w:val="false"/>
          <w:bCs w:val="false"/>
          <w:i w:val="false"/>
          <w:iCs w:val="false"/>
          <w:color w:val="2A265A"/>
          <w:sz w:val="22"/>
          <w:szCs w:val="22"/>
          <w:u w:val="none"/>
        </w:rPr>
        <w:t xml:space="preserve">(Boletín Oficial de la Provincia de Las Palmas, nº 120, miércoles 17 de septiembre de 2008 </w:t>
      </w:r>
      <w:r>
        <w:rPr>
          <w:rFonts w:cs="Roboto Slab" w:ascii="Roboto Slab" w:hAnsi="Roboto Slab"/>
          <w:b w:val="false"/>
          <w:bCs w:val="false"/>
          <w:i w:val="false"/>
          <w:iCs w:val="false"/>
          <w:color w:val="2A265A"/>
          <w:w w:val="105"/>
          <w:sz w:val="22"/>
          <w:szCs w:val="22"/>
          <w:u w:val="none"/>
        </w:rPr>
        <w:t>y Boletín Oficial de la Provincia de Las Palmas , nº 142, viernes 13 de noviembre de 2015)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El Consejo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Unión Europea, con fecha 4 de </w:t>
      </w:r>
      <w:r>
        <w:rPr>
          <w:rFonts w:cs="IBM Plex Sans" w:ascii="IBM Plex Sans" w:hAnsi="IBM Plex Sans"/>
          <w:b w:val="false"/>
          <w:bCs w:val="false"/>
          <w:i w:val="false"/>
          <w:iCs w:val="false"/>
          <w:spacing w:val="-3"/>
          <w:sz w:val="22"/>
          <w:szCs w:val="22"/>
          <w:u w:val="none"/>
        </w:rPr>
        <w:t xml:space="preserve">junio </w:t>
      </w:r>
      <w:r>
        <w:rPr>
          <w:rFonts w:cs="IBM Plex Sans" w:ascii="IBM Plex Sans" w:hAnsi="IBM Plex Sans"/>
          <w:b w:val="false"/>
          <w:bCs w:val="false"/>
          <w:i w:val="false"/>
          <w:iCs w:val="false"/>
          <w:sz w:val="22"/>
          <w:szCs w:val="22"/>
          <w:u w:val="none"/>
        </w:rPr>
        <w:t xml:space="preserve">de 1998, aprobó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Recomendación 98/376, sobre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creación de una tarjeta de estacionamiento para  personas con discapacidad en los Estados miembros, normativa que </w:t>
      </w:r>
      <w:r>
        <w:rPr>
          <w:rFonts w:cs="IBM Plex Sans" w:ascii="IBM Plex Sans" w:hAnsi="IBM Plex Sans"/>
          <w:b w:val="false"/>
          <w:bCs w:val="false"/>
          <w:i w:val="false"/>
          <w:iCs w:val="false"/>
          <w:spacing w:val="-3"/>
          <w:sz w:val="22"/>
          <w:szCs w:val="22"/>
          <w:u w:val="none"/>
        </w:rPr>
        <w:t xml:space="preserve">fue </w:t>
      </w:r>
      <w:r>
        <w:rPr>
          <w:rFonts w:cs="IBM Plex Sans" w:ascii="IBM Plex Sans" w:hAnsi="IBM Plex Sans"/>
          <w:b w:val="false"/>
          <w:bCs w:val="false"/>
          <w:i w:val="false"/>
          <w:iCs w:val="false"/>
          <w:sz w:val="22"/>
          <w:szCs w:val="22"/>
          <w:u w:val="none"/>
        </w:rPr>
        <w:t xml:space="preserve">contemplada en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Disposición Adicional cuarta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Ley 19/2001, de 19 de diciembre, de reforma del Texto articulado sobre Tráfico, Circulación de Vehículos a motor y Seguridad Vial, aprobado por Real Decreto Legislativo 339/1990, de 2 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marzo.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adhesión citada ha producido una doble regulación municipal, por un lado la “Ordenanza Municipal por la que se Regula la Tarjeta de Estacionamiento de Vehículos para Personas con Movilidad Reducida”, norma que regula los titulares, derechos y procedimientos relacionados con la señalada tarjeta de estacionamiento.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Y, por otro, la presente Ordenanza Reguladora de la Autorización de Reservas de Plazas de Estacionamiento junto al Domicilio de Personas con Movilidad Reducida, circunscrita a establecer las condiciones y procedimientos de este tipo de autorizaciones en nuestro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 OBJETIVOS.</w:t>
      </w:r>
    </w:p>
    <w:p>
      <w:pPr>
        <w:pStyle w:val="Normal"/>
        <w:jc w:val="left"/>
        <w:rPr/>
      </w:pPr>
      <w:r>
        <w:rPr>
          <w:rFonts w:cs="IBM Plex Sans" w:ascii="IBM Plex Sans" w:hAnsi="IBM Plex Sans"/>
          <w:b w:val="false"/>
          <w:bCs w:val="false"/>
          <w:i w:val="false"/>
          <w:iCs w:val="false"/>
          <w:sz w:val="22"/>
          <w:szCs w:val="22"/>
          <w:u w:val="none"/>
        </w:rPr>
        <w:t xml:space="preserve">Con el </w:t>
      </w:r>
      <w:r>
        <w:rPr>
          <w:rFonts w:cs="IBM Plex Sans" w:ascii="IBM Plex Sans" w:hAnsi="IBM Plex Sans"/>
          <w:b w:val="false"/>
          <w:bCs w:val="false"/>
          <w:i w:val="false"/>
          <w:iCs w:val="false"/>
          <w:spacing w:val="-3"/>
          <w:sz w:val="22"/>
          <w:szCs w:val="22"/>
          <w:u w:val="none"/>
        </w:rPr>
        <w:t xml:space="preserve">fin </w:t>
      </w:r>
      <w:r>
        <w:rPr>
          <w:rFonts w:cs="IBM Plex Sans" w:ascii="IBM Plex Sans" w:hAnsi="IBM Plex Sans"/>
          <w:b w:val="false"/>
          <w:bCs w:val="false"/>
          <w:i w:val="false"/>
          <w:iCs w:val="false"/>
          <w:sz w:val="22"/>
          <w:szCs w:val="22"/>
          <w:u w:val="none"/>
        </w:rPr>
        <w:t xml:space="preserve">de facilitar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movilidad de las personas que teniendo disminución física </w:t>
      </w:r>
      <w:r>
        <w:rPr>
          <w:rFonts w:cs="IBM Plex Sans" w:ascii="IBM Plex Sans" w:hAnsi="IBM Plex Sans"/>
          <w:b w:val="false"/>
          <w:bCs w:val="false"/>
          <w:i w:val="false"/>
          <w:iCs w:val="false"/>
          <w:spacing w:val="4"/>
          <w:sz w:val="22"/>
          <w:szCs w:val="22"/>
          <w:u w:val="none"/>
        </w:rPr>
        <w:t xml:space="preserve">en </w:t>
      </w:r>
      <w:r>
        <w:rPr>
          <w:rFonts w:cs="IBM Plex Sans" w:ascii="IBM Plex Sans" w:hAnsi="IBM Plex Sans"/>
          <w:b w:val="false"/>
          <w:bCs w:val="false"/>
          <w:i w:val="false"/>
          <w:iCs w:val="false"/>
          <w:sz w:val="22"/>
          <w:szCs w:val="22"/>
          <w:u w:val="none"/>
        </w:rPr>
        <w:t xml:space="preserve">sus miembros motores las incapacite para el normal uso de los transportes colectivos o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marcha a pie, se redacta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presente Ordenanza, que tiene como objetivo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autorización de reservas de plazas de estacionamiento junto al domicilio de personas con movilidad</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 BENEFICIARIOS DE LA 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Podrán beneficiarse de este permiso los vecinos de este municipio con movilidad reducida que reúnan los siguientes requisitos:</w:t>
      </w:r>
    </w:p>
    <w:p>
      <w:pPr>
        <w:pStyle w:val="Normal"/>
        <w:jc w:val="left"/>
        <w:rPr/>
      </w:pPr>
      <w:r>
        <w:rPr>
          <w:rFonts w:cs="IBM Plex Sans" w:ascii="IBM Plex Sans" w:hAnsi="IBM Plex Sans"/>
          <w:b w:val="false"/>
          <w:bCs w:val="false"/>
          <w:i w:val="false"/>
          <w:iCs w:val="false"/>
          <w:sz w:val="22"/>
          <w:szCs w:val="22"/>
          <w:u w:val="none"/>
        </w:rPr>
        <w:t>a) Que cuenten con tarjeta expedida a su nombre de estacionamiento de vehículos para personas con movilidad</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Que residan y estén empadronados en el</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Que </w:t>
      </w:r>
      <w:r>
        <w:rPr>
          <w:rFonts w:cs="IBM Plex Sans" w:ascii="IBM Plex Sans" w:hAnsi="IBM Plex Sans"/>
          <w:b w:val="false"/>
          <w:bCs w:val="false"/>
          <w:i w:val="false"/>
          <w:iCs w:val="false"/>
          <w:spacing w:val="-3"/>
          <w:sz w:val="22"/>
          <w:szCs w:val="22"/>
          <w:u w:val="none"/>
        </w:rPr>
        <w:t xml:space="preserve">no </w:t>
      </w:r>
      <w:r>
        <w:rPr>
          <w:rFonts w:cs="IBM Plex Sans" w:ascii="IBM Plex Sans" w:hAnsi="IBM Plex Sans"/>
          <w:b w:val="false"/>
          <w:bCs w:val="false"/>
          <w:i w:val="false"/>
          <w:iCs w:val="false"/>
          <w:sz w:val="22"/>
          <w:szCs w:val="22"/>
          <w:u w:val="none"/>
        </w:rPr>
        <w:t>dispongan de plaza de estacionamiento propia (plaza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garaje).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 Que sean propietarios y conductores del vehículo para el que se solicita la 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En el caso, en que </w:t>
      </w:r>
      <w:r>
        <w:rPr>
          <w:rFonts w:cs="IBM Plex Sans" w:ascii="IBM Plex Sans" w:hAnsi="IBM Plex Sans"/>
          <w:b w:val="false"/>
          <w:bCs w:val="false"/>
          <w:i w:val="false"/>
          <w:iCs w:val="false"/>
          <w:spacing w:val="-3"/>
          <w:sz w:val="22"/>
          <w:szCs w:val="22"/>
          <w:u w:val="none"/>
        </w:rPr>
        <w:t xml:space="preserve">no </w:t>
      </w:r>
      <w:r>
        <w:rPr>
          <w:rFonts w:cs="IBM Plex Sans" w:ascii="IBM Plex Sans" w:hAnsi="IBM Plex Sans"/>
          <w:b w:val="false"/>
          <w:bCs w:val="false"/>
          <w:i w:val="false"/>
          <w:iCs w:val="false"/>
          <w:sz w:val="22"/>
          <w:szCs w:val="22"/>
          <w:u w:val="none"/>
        </w:rPr>
        <w:t>sean propietarios ni conductores del vehículo, es necesario que el vehículo esté adaptado para personas con movilidad</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aquellos que no reúnan las cláusulas c y d, se otorgara una reserva de un metro frente a la puerta de entrada a su domicilio, para facilitar la entrada y salida del mismo, mediante sillas de ruedas o camillas.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Asimismo para aquellos casos que no reúnan los requisitos antes mencionados el órgano que resuelva valorará la posibilidad de la concesión de reserva de aparcamiento, previa la emisión de los informes pertinentes y argumentos debidamente razonados.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 SOLICITUDES.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solicitudes de las autorizaciones serán presentadas en el Registro General del Ayuntamiento en impreso normalizado, acompañado de la siguiente documentación a nombre del solicitante:</w:t>
      </w:r>
    </w:p>
    <w:p>
      <w:pPr>
        <w:pStyle w:val="Normal"/>
        <w:jc w:val="left"/>
        <w:rPr/>
      </w:pPr>
      <w:r>
        <w:rPr>
          <w:rFonts w:cs="IBM Plex Sans" w:ascii="IBM Plex Sans" w:hAnsi="IBM Plex Sans"/>
          <w:b w:val="false"/>
          <w:bCs w:val="false"/>
          <w:i w:val="false"/>
          <w:iCs w:val="false"/>
          <w:sz w:val="22"/>
          <w:szCs w:val="22"/>
          <w:u w:val="none"/>
        </w:rPr>
        <w:t>a) Fotocopia del</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DNI.</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b) Fotocopia del permiso 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conducción.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Fotocopia del permiso de circulación del</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vehículo.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Ficha técnica del vehículo, en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que, en su caso, conste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reforma autorizada para su conducción por persona con movilidad</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 Fotocopia 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tarjeta expedida a su nombre de estacionamiento de vehículos para personas con movilidad</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f) Fotocopia del Dictamen Técnico</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Facultativo.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 ÓRGANO COMPETENTE Y PLAZO DE LA AUTORIZACIÓN.</w:t>
      </w:r>
    </w:p>
    <w:p>
      <w:pPr>
        <w:pStyle w:val="Normal"/>
        <w:jc w:val="left"/>
        <w:rPr/>
      </w:pPr>
      <w:r>
        <w:rPr>
          <w:rFonts w:cs="IBM Plex Sans" w:ascii="IBM Plex Sans" w:hAnsi="IBM Plex Sans"/>
          <w:b w:val="false"/>
          <w:bCs w:val="false"/>
          <w:i w:val="false"/>
          <w:iCs w:val="false"/>
          <w:sz w:val="22"/>
          <w:szCs w:val="22"/>
          <w:u w:val="none"/>
        </w:rPr>
        <w:t xml:space="preserve">1. Previa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emisión de los informes pertinentes, compete al Alcalde, o a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Junta de Gobierno Local, en caso de delegación,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concesión,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autorización de reservas de plazas de estacionamiento junto </w:t>
      </w:r>
      <w:r>
        <w:rPr>
          <w:rFonts w:cs="IBM Plex Sans" w:ascii="IBM Plex Sans" w:hAnsi="IBM Plex Sans"/>
          <w:b w:val="false"/>
          <w:bCs w:val="false"/>
          <w:i w:val="false"/>
          <w:iCs w:val="false"/>
          <w:spacing w:val="-3"/>
          <w:sz w:val="22"/>
          <w:szCs w:val="22"/>
          <w:u w:val="none"/>
        </w:rPr>
        <w:t xml:space="preserve">al </w:t>
      </w:r>
      <w:r>
        <w:rPr>
          <w:rFonts w:cs="IBM Plex Sans" w:ascii="IBM Plex Sans" w:hAnsi="IBM Plex Sans"/>
          <w:b w:val="false"/>
          <w:bCs w:val="false"/>
          <w:i w:val="false"/>
          <w:iCs w:val="false"/>
          <w:sz w:val="22"/>
          <w:szCs w:val="22"/>
          <w:u w:val="none"/>
        </w:rPr>
        <w:t>domicilio de personas con movilidad</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reducida.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autorización tendrá validez por períodos de dos años, debiendo realizarse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renovación con antelación al vencimiento de cada período, debiendo aportar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documentación a que se refiere el artículo 3 e) y </w:t>
      </w:r>
      <w:r>
        <w:rPr>
          <w:rFonts w:cs="IBM Plex Sans" w:ascii="IBM Plex Sans" w:hAnsi="IBM Plex Sans"/>
          <w:b w:val="false"/>
          <w:bCs w:val="false"/>
          <w:i w:val="false"/>
          <w:iCs w:val="false"/>
          <w:spacing w:val="-4"/>
          <w:sz w:val="22"/>
          <w:szCs w:val="22"/>
          <w:u w:val="none"/>
        </w:rPr>
        <w:t xml:space="preserve">f) </w:t>
      </w:r>
      <w:r>
        <w:rPr>
          <w:rFonts w:cs="IBM Plex Sans" w:ascii="IBM Plex Sans" w:hAnsi="IBM Plex Sans"/>
          <w:b w:val="false"/>
          <w:bCs w:val="false"/>
          <w:i w:val="false"/>
          <w:iCs w:val="false"/>
          <w:sz w:val="22"/>
          <w:szCs w:val="22"/>
          <w:u w:val="none"/>
        </w:rPr>
        <w:t>de esta Ordenanza, y en su caso cualquier otro de los documentos señalados en el citado artículo que haya dado lugar a algún cambio, o en otro caso, se procederá a dar de baja de oficio dicha autorización una vez cumplido el plazo sin que se haya procedido a su renovación.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5. CONTENIDO DE LA AUTORIZACIÓN.</w:t>
      </w:r>
    </w:p>
    <w:p>
      <w:pPr>
        <w:pStyle w:val="Normal"/>
        <w:jc w:val="left"/>
        <w:rPr/>
      </w:pPr>
      <w:r>
        <w:rPr>
          <w:rFonts w:cs="IBM Plex Sans" w:ascii="IBM Plex Sans" w:hAnsi="IBM Plex Sans"/>
          <w:b w:val="false"/>
          <w:bCs w:val="false"/>
          <w:i w:val="false"/>
          <w:iCs w:val="false"/>
          <w:sz w:val="22"/>
          <w:szCs w:val="22"/>
          <w:u w:val="none"/>
        </w:rPr>
        <w:t xml:space="preserve">1. La autorización de reservas de plazas de estacionamiento junto al domicilio de personas con movilidad reducida sólo podrá ser utilizada por el vehículo al que corresponda </w:t>
      </w:r>
      <w:r>
        <w:rPr>
          <w:rFonts w:cs="IBM Plex Sans" w:ascii="IBM Plex Sans" w:hAnsi="IBM Plex Sans"/>
          <w:b w:val="false"/>
          <w:bCs w:val="false"/>
          <w:i w:val="false"/>
          <w:iCs w:val="false"/>
          <w:spacing w:val="-5"/>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A tal fin, las reservas deberán estar debidamente señalizadas, con identificación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matrícula del  vehículo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autorizado.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El coste de </w:t>
      </w:r>
      <w:r>
        <w:rPr>
          <w:rFonts w:cs="IBM Plex Sans" w:ascii="IBM Plex Sans" w:hAnsi="IBM Plex Sans"/>
          <w:b w:val="false"/>
          <w:bCs w:val="false"/>
          <w:i w:val="false"/>
          <w:iCs w:val="false"/>
          <w:spacing w:val="-4"/>
          <w:sz w:val="22"/>
          <w:szCs w:val="22"/>
          <w:u w:val="none"/>
        </w:rPr>
        <w:t xml:space="preserve">las </w:t>
      </w:r>
      <w:r>
        <w:rPr>
          <w:rFonts w:cs="IBM Plex Sans" w:ascii="IBM Plex Sans" w:hAnsi="IBM Plex Sans"/>
          <w:b w:val="false"/>
          <w:bCs w:val="false"/>
          <w:i w:val="false"/>
          <w:iCs w:val="false"/>
          <w:sz w:val="22"/>
          <w:szCs w:val="22"/>
          <w:u w:val="none"/>
        </w:rPr>
        <w:t>citadas señalizaciones correrá a cargo del</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beneficiario.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6. OBLIGACIONES.</w:t>
      </w:r>
    </w:p>
    <w:p>
      <w:pPr>
        <w:pStyle w:val="Normal"/>
        <w:jc w:val="left"/>
        <w:rPr/>
      </w:pPr>
      <w:r>
        <w:rPr>
          <w:rFonts w:cs="IBM Plex Sans" w:ascii="IBM Plex Sans" w:hAnsi="IBM Plex Sans"/>
          <w:b w:val="false"/>
          <w:bCs w:val="false"/>
          <w:i w:val="false"/>
          <w:iCs w:val="false"/>
          <w:sz w:val="22"/>
          <w:szCs w:val="22"/>
          <w:u w:val="none"/>
        </w:rPr>
        <w:t xml:space="preserve">Los titulares 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autorización estarán obligados a respetar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presente Ordenanza, </w:t>
      </w:r>
      <w:r>
        <w:rPr>
          <w:rFonts w:cs="IBM Plex Sans" w:ascii="IBM Plex Sans" w:hAnsi="IBM Plex Sans"/>
          <w:b w:val="false"/>
          <w:bCs w:val="false"/>
          <w:i w:val="false"/>
          <w:iCs w:val="false"/>
          <w:spacing w:val="3"/>
          <w:sz w:val="22"/>
          <w:szCs w:val="22"/>
          <w:u w:val="none"/>
        </w:rPr>
        <w:t xml:space="preserve">así </w:t>
      </w:r>
      <w:r>
        <w:rPr>
          <w:rFonts w:cs="IBM Plex Sans" w:ascii="IBM Plex Sans" w:hAnsi="IBM Plex Sans"/>
          <w:b w:val="false"/>
          <w:bCs w:val="false"/>
          <w:i w:val="false"/>
          <w:iCs w:val="false"/>
          <w:sz w:val="22"/>
          <w:szCs w:val="22"/>
          <w:u w:val="none"/>
        </w:rPr>
        <w:t xml:space="preserve">como a informar de los posibles cambios en los requisitos que ampararon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concesión  de </w:t>
      </w:r>
      <w:r>
        <w:rPr>
          <w:rFonts w:cs="IBM Plex Sans" w:ascii="IBM Plex Sans" w:hAnsi="IBM Plex Sans"/>
          <w:b w:val="false"/>
          <w:bCs w:val="false"/>
          <w:i w:val="false"/>
          <w:iCs w:val="false"/>
          <w:spacing w:val="-5"/>
          <w:sz w:val="22"/>
          <w:szCs w:val="22"/>
          <w:u w:val="none"/>
        </w:rPr>
        <w:t>la</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incumplimiento de las citadas obligaciones podrá comportar la anulación de la autorización.</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7. INFRACCIONES Y SANCIONES.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estacionamiento de vehículos no autorizados en las reservas de aparcamientos a las que se refiere la presente Ordenanza se considerará infracción, siendo sancionado con arreglo a lo que se establece legalmente.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DISPOSICIÓN FINAL.</w:t>
      </w:r>
    </w:p>
    <w:p>
      <w:pPr>
        <w:pStyle w:val="Normal"/>
        <w:jc w:val="left"/>
        <w:rPr/>
      </w:pPr>
      <w:r>
        <w:rPr>
          <w:rFonts w:cs="IBM Plex Sans" w:ascii="IBM Plex Sans" w:hAnsi="IBM Plex Sans"/>
          <w:b w:val="false"/>
          <w:bCs w:val="false"/>
          <w:i w:val="false"/>
          <w:iCs w:val="false"/>
          <w:sz w:val="22"/>
          <w:szCs w:val="22"/>
          <w:u w:val="none"/>
        </w:rPr>
        <w:t xml:space="preserve">La presente Ordenanza una vez aprobada definitivamente por el Pleno de </w:t>
      </w:r>
      <w:r>
        <w:rPr>
          <w:rFonts w:cs="IBM Plex Sans" w:ascii="IBM Plex Sans" w:hAnsi="IBM Plex Sans"/>
          <w:b w:val="false"/>
          <w:bCs w:val="false"/>
          <w:i w:val="false"/>
          <w:iCs w:val="false"/>
          <w:spacing w:val="-3"/>
          <w:sz w:val="22"/>
          <w:szCs w:val="22"/>
          <w:u w:val="none"/>
        </w:rPr>
        <w:t>la</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z w:val="22"/>
          <w:szCs w:val="22"/>
          <w:u w:val="none"/>
        </w:rPr>
        <w:t xml:space="preserve">Corporación se publicará íntegramente en el Boletín Oficial 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Provincia, de conformidad con cuanto establece el artículo 70.2 de </w:t>
      </w:r>
      <w:r>
        <w:rPr>
          <w:rFonts w:cs="IBM Plex Sans" w:ascii="IBM Plex Sans" w:hAnsi="IBM Plex Sans"/>
          <w:b w:val="false"/>
          <w:bCs w:val="false"/>
          <w:i w:val="false"/>
          <w:iCs w:val="false"/>
          <w:spacing w:val="-5"/>
          <w:sz w:val="22"/>
          <w:szCs w:val="22"/>
          <w:u w:val="none"/>
        </w:rPr>
        <w:t xml:space="preserve">la </w:t>
      </w:r>
      <w:r>
        <w:rPr>
          <w:rFonts w:cs="IBM Plex Sans" w:ascii="IBM Plex Sans" w:hAnsi="IBM Plex Sans"/>
          <w:b w:val="false"/>
          <w:bCs w:val="false"/>
          <w:i w:val="false"/>
          <w:iCs w:val="false"/>
          <w:sz w:val="22"/>
          <w:szCs w:val="22"/>
          <w:u w:val="none"/>
        </w:rPr>
        <w:t xml:space="preserve">Ley 7/1985, de 2 de abril, Reguladora de las bases de Régimen Local y entrará en vigor una vez que transcurra </w:t>
      </w:r>
      <w:r>
        <w:rPr>
          <w:rFonts w:cs="IBM Plex Sans" w:ascii="IBM Plex Sans" w:hAnsi="IBM Plex Sans"/>
          <w:b w:val="false"/>
          <w:bCs w:val="false"/>
          <w:i w:val="false"/>
          <w:iCs w:val="false"/>
          <w:spacing w:val="4"/>
          <w:sz w:val="22"/>
          <w:szCs w:val="22"/>
          <w:u w:val="none"/>
        </w:rPr>
        <w:t xml:space="preserve">el </w:t>
      </w:r>
      <w:r>
        <w:rPr>
          <w:rFonts w:cs="IBM Plex Sans" w:ascii="IBM Plex Sans" w:hAnsi="IBM Plex Sans"/>
          <w:b w:val="false"/>
          <w:bCs w:val="false"/>
          <w:i w:val="false"/>
          <w:iCs w:val="false"/>
          <w:sz w:val="22"/>
          <w:szCs w:val="22"/>
          <w:u w:val="none"/>
        </w:rPr>
        <w:t xml:space="preserve">plazo de quince días hábiles desde su publicación previsto en el artículo 65.2 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citada </w:t>
      </w:r>
      <w:r>
        <w:rPr>
          <w:rFonts w:cs="IBM Plex Sans" w:ascii="IBM Plex Sans" w:hAnsi="IBM Plex Sans"/>
          <w:b w:val="false"/>
          <w:bCs w:val="false"/>
          <w:i w:val="false"/>
          <w:iCs w:val="false"/>
          <w:spacing w:val="-3"/>
          <w:sz w:val="22"/>
          <w:szCs w:val="22"/>
          <w:u w:val="none"/>
        </w:rPr>
        <w:t>Ley.</w:t>
      </w:r>
    </w:p>
    <w:p>
      <w:pPr>
        <w:pStyle w:val="Normal"/>
        <w:rPr/>
      </w:pPr>
      <w:r>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Roboto Slab">
    <w:charset w:val="00"/>
    <w:family w:val="roman"/>
    <w:pitch w:val="variable"/>
  </w:font>
  <w:font w:name="IBM Plex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12</TotalTime>
  <Application>LibreOffice/6.4.3.2$Windows_X86_64 LibreOffice_project/747b5d0ebf89f41c860ec2a39efd7cb15b54f2d8</Application>
  <Pages>3</Pages>
  <Words>905</Words>
  <Characters>4858</Characters>
  <CharactersWithSpaces>5729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2021-01-19T15:15:21Z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