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left"/>
        <w:rPr/>
      </w:pPr>
      <w:r>
        <w:rPr>
          <w:rFonts w:eastAsia="Times New Roman" w:cs="Roboto Slab" w:ascii="Roboto Slab" w:hAnsi="Roboto Slab"/>
          <w:b/>
          <w:bCs/>
          <w:i w:val="false"/>
          <w:iCs w:val="false"/>
          <w:color w:val="0D1F63"/>
          <w:w w:val="105"/>
          <w:sz w:val="36"/>
          <w:szCs w:val="36"/>
          <w:u w:val="none"/>
        </w:rPr>
        <w:t xml:space="preserve">ORDENANZA MUNICIPAL REGULADORA DE LAS </w:t>
      </w:r>
      <w:r>
        <w:rPr>
          <w:rFonts w:eastAsia="Times New Roman" w:cs="Roboto Slab" w:ascii="Roboto Slab" w:hAnsi="Roboto Slab"/>
          <w:b/>
          <w:bCs/>
          <w:i w:val="false"/>
          <w:iCs w:val="false"/>
          <w:color w:val="0D1F63"/>
          <w:sz w:val="36"/>
          <w:szCs w:val="36"/>
          <w:u w:val="none"/>
        </w:rPr>
        <w:t>LICENCIAS URBANÍSTICAS DE OBRAS MENORES</w:t>
      </w:r>
    </w:p>
    <w:p>
      <w:pPr>
        <w:pStyle w:val="Normal"/>
        <w:jc w:val="left"/>
        <w:rPr>
          <w:rFonts w:ascii="Roboto Slab" w:hAnsi="Roboto Slab" w:cs="Roboto Slab"/>
          <w:b w:val="false"/>
          <w:b w:val="false"/>
          <w:bCs w:val="false"/>
          <w:i w:val="false"/>
          <w:i w:val="false"/>
          <w:iCs w:val="false"/>
          <w:color w:val="0D1F63"/>
          <w:w w:val="110"/>
          <w:sz w:val="22"/>
          <w:szCs w:val="22"/>
          <w:u w:val="none"/>
        </w:rPr>
      </w:pPr>
      <w:r>
        <w:rPr>
          <w:rFonts w:cs="Roboto Slab" w:ascii="Roboto Slab" w:hAnsi="Roboto Slab"/>
          <w:b w:val="false"/>
          <w:bCs w:val="false"/>
          <w:i w:val="false"/>
          <w:iCs w:val="false"/>
          <w:color w:val="0D1F63"/>
          <w:w w:val="110"/>
          <w:sz w:val="22"/>
          <w:szCs w:val="22"/>
          <w:u w:val="none"/>
        </w:rPr>
        <w:t>(Boletín Oficial de la Provincia de Las Palmas, nº 161, de 17 de diciembre de 2014, y Boletín Oficial de la Provincia de Las Palmas, nº 118, de 30 de septiembre de 2016)</w:t>
      </w:r>
    </w:p>
    <w:p>
      <w:pPr>
        <w:pStyle w:val="Normal"/>
        <w:jc w:val="left"/>
        <w:rPr>
          <w:rFonts w:ascii="IBM Plex Sans" w:hAnsi="IBM Plex Sans" w:cs="IBM Plex Sans"/>
          <w:b/>
          <w:b/>
          <w:bCs/>
          <w:i w:val="false"/>
          <w:i w:val="false"/>
          <w:iCs w:val="false"/>
          <w:sz w:val="22"/>
          <w:szCs w:val="22"/>
          <w:u w:val="none"/>
        </w:rPr>
      </w:pPr>
      <w:r>
        <w:rPr>
          <w:rFonts w:cs="IBM Plex Sans" w:ascii="IBM Plex Sans" w:hAnsi="IBM Plex Sans"/>
          <w:b/>
          <w:bCs/>
          <w:i w:val="false"/>
          <w:iCs w:val="false"/>
          <w:sz w:val="22"/>
          <w:szCs w:val="22"/>
          <w:u w:val="none"/>
        </w:rPr>
      </w:r>
    </w:p>
    <w:p>
      <w:pPr>
        <w:pStyle w:val="Normal"/>
        <w:jc w:val="left"/>
        <w:rPr>
          <w:rFonts w:ascii="IBM Plex Sans" w:hAnsi="IBM Plex Sans" w:cs="IBM Plex Sans"/>
          <w:b/>
          <w:b/>
          <w:bCs/>
          <w:i w:val="false"/>
          <w:i w:val="false"/>
          <w:iCs w:val="false"/>
          <w:sz w:val="22"/>
          <w:szCs w:val="22"/>
          <w:u w:val="none"/>
        </w:rPr>
      </w:pPr>
      <w:r>
        <w:rPr>
          <w:rFonts w:cs="IBM Plex Sans" w:ascii="IBM Plex Sans" w:hAnsi="IBM Plex Sans"/>
          <w:b/>
          <w:bCs/>
          <w:i w:val="false"/>
          <w:iCs w:val="false"/>
          <w:sz w:val="22"/>
          <w:szCs w:val="22"/>
          <w:u w:val="none"/>
        </w:rPr>
        <w:t>EXPOSICIÓN DE MOTIVOS.</w:t>
      </w:r>
    </w:p>
    <w:p>
      <w:pPr>
        <w:pStyle w:val="Normal"/>
        <w:jc w:val="left"/>
        <w:rPr/>
      </w:pPr>
      <w:r>
        <w:rPr>
          <w:rFonts w:cs="IBM Plex Sans" w:ascii="IBM Plex Sans" w:hAnsi="IBM Plex Sans"/>
          <w:b w:val="false"/>
          <w:bCs w:val="false"/>
          <w:i w:val="false"/>
          <w:iCs w:val="false"/>
          <w:sz w:val="22"/>
          <w:szCs w:val="22"/>
          <w:u w:val="none"/>
        </w:rPr>
        <w:t>El marco normativo europeo ha venido introduciendo en los últimos años mecanismos orientados a simplificar la actividad de intervención administrativa dirigida al ciudadano, destacando dentro del Ordenamiento jurídico español, el régimen de la declaración responsable y de la comunicación</w:t>
      </w:r>
      <w:r>
        <w:rPr>
          <w:rFonts w:cs="IBM Plex Sans" w:ascii="IBM Plex Sans" w:hAnsi="IBM Plex Sans"/>
          <w:b w:val="false"/>
          <w:bCs w:val="false"/>
          <w:i w:val="false"/>
          <w:iCs w:val="false"/>
          <w:spacing w:val="-21"/>
          <w:sz w:val="22"/>
          <w:szCs w:val="22"/>
          <w:u w:val="none"/>
        </w:rPr>
        <w:t xml:space="preserve"> </w:t>
      </w:r>
      <w:r>
        <w:rPr>
          <w:rFonts w:cs="IBM Plex Sans" w:ascii="IBM Plex Sans" w:hAnsi="IBM Plex Sans"/>
          <w:b w:val="false"/>
          <w:bCs w:val="false"/>
          <w:i w:val="false"/>
          <w:iCs w:val="false"/>
          <w:sz w:val="22"/>
          <w:szCs w:val="22"/>
          <w:u w:val="none"/>
        </w:rPr>
        <w:t>previa.</w:t>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t>Estas herramientas se convierten en títulos habilitantes para el ejercicio por el ciudadano de una serie de derechos que, tradicionalmente han estado sujetos a un régimen de control administrativo previo, mientras que ahora, la actuación municipal de control pasa a realizarse en un momento posterior, abogando por el principio de confianza en la madurez del ciudadano en sus relaciones con la Administración.</w:t>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t>Con esta misma filosofía se plantea esta ordenanza para el caso de las licencias de obras menores.</w:t>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pPr>
      <w:r>
        <w:rPr>
          <w:rFonts w:cs="IBM Plex Sans" w:ascii="IBM Plex Sans" w:hAnsi="IBM Plex Sans"/>
          <w:b w:val="false"/>
          <w:bCs w:val="false"/>
          <w:i w:val="false"/>
          <w:iCs w:val="false"/>
          <w:sz w:val="22"/>
          <w:szCs w:val="22"/>
          <w:u w:val="none"/>
        </w:rPr>
        <w:t xml:space="preserve">La </w:t>
      </w:r>
      <w:r>
        <w:rPr>
          <w:rFonts w:cs="IBM Plex Sans" w:ascii="IBM Plex Sans" w:hAnsi="IBM Plex Sans"/>
          <w:b w:val="false"/>
          <w:bCs w:val="false"/>
          <w:i w:val="false"/>
          <w:iCs w:val="false"/>
          <w:spacing w:val="-3"/>
          <w:sz w:val="22"/>
          <w:szCs w:val="22"/>
          <w:u w:val="none"/>
        </w:rPr>
        <w:t xml:space="preserve">licencia urbanística </w:t>
      </w:r>
      <w:r>
        <w:rPr>
          <w:rFonts w:cs="IBM Plex Sans" w:ascii="IBM Plex Sans" w:hAnsi="IBM Plex Sans"/>
          <w:b w:val="false"/>
          <w:bCs w:val="false"/>
          <w:i w:val="false"/>
          <w:iCs w:val="false"/>
          <w:sz w:val="22"/>
          <w:szCs w:val="22"/>
          <w:u w:val="none"/>
        </w:rPr>
        <w:t xml:space="preserve">es una </w:t>
      </w:r>
      <w:r>
        <w:rPr>
          <w:rFonts w:cs="IBM Plex Sans" w:ascii="IBM Plex Sans" w:hAnsi="IBM Plex Sans"/>
          <w:b w:val="false"/>
          <w:bCs w:val="false"/>
          <w:i w:val="false"/>
          <w:iCs w:val="false"/>
          <w:spacing w:val="-3"/>
          <w:sz w:val="22"/>
          <w:szCs w:val="22"/>
          <w:u w:val="none"/>
        </w:rPr>
        <w:t xml:space="preserve">autorización municipal </w:t>
      </w:r>
      <w:r>
        <w:rPr>
          <w:rFonts w:cs="IBM Plex Sans" w:ascii="IBM Plex Sans" w:hAnsi="IBM Plex Sans"/>
          <w:b w:val="false"/>
          <w:bCs w:val="false"/>
          <w:i w:val="false"/>
          <w:iCs w:val="false"/>
          <w:sz w:val="22"/>
          <w:szCs w:val="22"/>
          <w:u w:val="none"/>
        </w:rPr>
        <w:t xml:space="preserve">de carácter reglado que, sin perjuicio de tercero, permite la ejecución de obras y la implantación de usos que </w:t>
      </w:r>
      <w:r>
        <w:rPr>
          <w:rFonts w:cs="IBM Plex Sans" w:ascii="IBM Plex Sans" w:hAnsi="IBM Plex Sans"/>
          <w:b w:val="false"/>
          <w:bCs w:val="false"/>
          <w:i w:val="false"/>
          <w:iCs w:val="false"/>
          <w:spacing w:val="-2"/>
          <w:sz w:val="22"/>
          <w:szCs w:val="22"/>
          <w:u w:val="none"/>
        </w:rPr>
        <w:t xml:space="preserve">los </w:t>
      </w:r>
      <w:r>
        <w:rPr>
          <w:rFonts w:cs="IBM Plex Sans" w:ascii="IBM Plex Sans" w:hAnsi="IBM Plex Sans"/>
          <w:b w:val="false"/>
          <w:bCs w:val="false"/>
          <w:i w:val="false"/>
          <w:iCs w:val="false"/>
          <w:sz w:val="22"/>
          <w:szCs w:val="22"/>
          <w:u w:val="none"/>
        </w:rPr>
        <w:t>instrumentos</w:t>
      </w:r>
      <w:r>
        <w:rPr>
          <w:rFonts w:cs="IBM Plex Sans" w:ascii="IBM Plex Sans" w:hAnsi="IBM Plex Sans"/>
          <w:b w:val="false"/>
          <w:bCs w:val="false"/>
          <w:i w:val="false"/>
          <w:iCs w:val="false"/>
          <w:spacing w:val="-18"/>
          <w:sz w:val="22"/>
          <w:szCs w:val="22"/>
          <w:u w:val="none"/>
        </w:rPr>
        <w:t xml:space="preserve"> </w:t>
      </w:r>
      <w:r>
        <w:rPr>
          <w:rFonts w:cs="IBM Plex Sans" w:ascii="IBM Plex Sans" w:hAnsi="IBM Plex Sans"/>
          <w:b w:val="false"/>
          <w:bCs w:val="false"/>
          <w:i w:val="false"/>
          <w:iCs w:val="false"/>
          <w:sz w:val="22"/>
          <w:szCs w:val="22"/>
          <w:u w:val="none"/>
        </w:rPr>
        <w:t>urbanísticos</w:t>
      </w:r>
      <w:r>
        <w:rPr>
          <w:rFonts w:cs="IBM Plex Sans" w:ascii="IBM Plex Sans" w:hAnsi="IBM Plex Sans"/>
          <w:b w:val="false"/>
          <w:bCs w:val="false"/>
          <w:i w:val="false"/>
          <w:iCs w:val="false"/>
          <w:spacing w:val="-18"/>
          <w:sz w:val="22"/>
          <w:szCs w:val="22"/>
          <w:u w:val="none"/>
        </w:rPr>
        <w:t xml:space="preserve"> </w:t>
      </w:r>
      <w:r>
        <w:rPr>
          <w:rFonts w:cs="IBM Plex Sans" w:ascii="IBM Plex Sans" w:hAnsi="IBM Plex Sans"/>
          <w:b w:val="false"/>
          <w:bCs w:val="false"/>
          <w:i w:val="false"/>
          <w:iCs w:val="false"/>
          <w:sz w:val="22"/>
          <w:szCs w:val="22"/>
          <w:u w:val="none"/>
        </w:rPr>
        <w:t>hayan</w:t>
      </w:r>
      <w:r>
        <w:rPr>
          <w:rFonts w:cs="IBM Plex Sans" w:ascii="IBM Plex Sans" w:hAnsi="IBM Plex Sans"/>
          <w:b w:val="false"/>
          <w:bCs w:val="false"/>
          <w:i w:val="false"/>
          <w:iCs w:val="false"/>
          <w:spacing w:val="-18"/>
          <w:sz w:val="22"/>
          <w:szCs w:val="22"/>
          <w:u w:val="none"/>
        </w:rPr>
        <w:t xml:space="preserve"> </w:t>
      </w:r>
      <w:r>
        <w:rPr>
          <w:rFonts w:cs="IBM Plex Sans" w:ascii="IBM Plex Sans" w:hAnsi="IBM Plex Sans"/>
          <w:b w:val="false"/>
          <w:bCs w:val="false"/>
          <w:i w:val="false"/>
          <w:iCs w:val="false"/>
          <w:sz w:val="22"/>
          <w:szCs w:val="22"/>
          <w:u w:val="none"/>
        </w:rPr>
        <w:t>previsto.</w:t>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t>Esta técnica de intervención administrativa se basa en el control de los actos de edificación y otros usos del suelo, para garantizar su adecuación y sometimiento a la legalidad y al planeamiento urbanístico.</w:t>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pPr>
      <w:r>
        <w:rPr>
          <w:rFonts w:cs="IBM Plex Sans" w:ascii="IBM Plex Sans" w:hAnsi="IBM Plex Sans"/>
          <w:b w:val="false"/>
          <w:bCs w:val="false"/>
          <w:i w:val="false"/>
          <w:iCs w:val="false"/>
          <w:sz w:val="22"/>
          <w:szCs w:val="22"/>
          <w:u w:val="none"/>
        </w:rPr>
        <w:t>En el ámbito urbanístico es tradicional la distinción entre las denominadas obras</w:t>
      </w:r>
      <w:r>
        <w:rPr>
          <w:rFonts w:cs="IBM Plex Sans" w:ascii="IBM Plex Sans" w:hAnsi="IBM Plex Sans"/>
          <w:b w:val="false"/>
          <w:bCs w:val="false"/>
          <w:i w:val="false"/>
          <w:iCs w:val="false"/>
          <w:spacing w:val="39"/>
          <w:sz w:val="22"/>
          <w:szCs w:val="22"/>
          <w:u w:val="none"/>
        </w:rPr>
        <w:t xml:space="preserve"> </w:t>
      </w:r>
      <w:r>
        <w:rPr>
          <w:rFonts w:cs="IBM Plex Sans" w:ascii="IBM Plex Sans" w:hAnsi="IBM Plex Sans"/>
          <w:b w:val="false"/>
          <w:bCs w:val="false"/>
          <w:i w:val="false"/>
          <w:iCs w:val="false"/>
          <w:sz w:val="22"/>
          <w:szCs w:val="22"/>
          <w:u w:val="none"/>
        </w:rPr>
        <w:t>mayores</w:t>
      </w:r>
      <w:r>
        <w:rPr>
          <w:rFonts w:cs="IBM Plex Sans" w:ascii="IBM Plex Sans" w:hAnsi="IBM Plex Sans"/>
          <w:b w:val="false"/>
          <w:bCs w:val="false"/>
          <w:i w:val="false"/>
          <w:iCs w:val="false"/>
          <w:spacing w:val="39"/>
          <w:sz w:val="22"/>
          <w:szCs w:val="22"/>
          <w:u w:val="none"/>
        </w:rPr>
        <w:t xml:space="preserve"> </w:t>
      </w:r>
      <w:r>
        <w:rPr>
          <w:rFonts w:cs="IBM Plex Sans" w:ascii="IBM Plex Sans" w:hAnsi="IBM Plex Sans"/>
          <w:b w:val="false"/>
          <w:bCs w:val="false"/>
          <w:i w:val="false"/>
          <w:iCs w:val="false"/>
          <w:sz w:val="22"/>
          <w:szCs w:val="22"/>
          <w:u w:val="none"/>
        </w:rPr>
        <w:t>y</w:t>
      </w:r>
      <w:r>
        <w:rPr>
          <w:rFonts w:cs="IBM Plex Sans" w:ascii="IBM Plex Sans" w:hAnsi="IBM Plex Sans"/>
          <w:b w:val="false"/>
          <w:bCs w:val="false"/>
          <w:i w:val="false"/>
          <w:iCs w:val="false"/>
          <w:spacing w:val="39"/>
          <w:sz w:val="22"/>
          <w:szCs w:val="22"/>
          <w:u w:val="none"/>
        </w:rPr>
        <w:t xml:space="preserve"> </w:t>
      </w:r>
      <w:r>
        <w:rPr>
          <w:rFonts w:cs="IBM Plex Sans" w:ascii="IBM Plex Sans" w:hAnsi="IBM Plex Sans"/>
          <w:b w:val="false"/>
          <w:bCs w:val="false"/>
          <w:i w:val="false"/>
          <w:iCs w:val="false"/>
          <w:sz w:val="22"/>
          <w:szCs w:val="22"/>
          <w:u w:val="none"/>
        </w:rPr>
        <w:t>menores,</w:t>
      </w:r>
      <w:r>
        <w:rPr>
          <w:rFonts w:cs="IBM Plex Sans" w:ascii="IBM Plex Sans" w:hAnsi="IBM Plex Sans"/>
          <w:b w:val="false"/>
          <w:bCs w:val="false"/>
          <w:i w:val="false"/>
          <w:iCs w:val="false"/>
          <w:spacing w:val="39"/>
          <w:sz w:val="22"/>
          <w:szCs w:val="22"/>
          <w:u w:val="none"/>
        </w:rPr>
        <w:t xml:space="preserve"> </w:t>
      </w:r>
      <w:r>
        <w:rPr>
          <w:rFonts w:cs="IBM Plex Sans" w:ascii="IBM Plex Sans" w:hAnsi="IBM Plex Sans"/>
          <w:b w:val="false"/>
          <w:bCs w:val="false"/>
          <w:i w:val="false"/>
          <w:iCs w:val="false"/>
          <w:sz w:val="22"/>
          <w:szCs w:val="22"/>
          <w:u w:val="none"/>
        </w:rPr>
        <w:t>cuyos</w:t>
      </w:r>
      <w:r>
        <w:rPr>
          <w:rFonts w:cs="IBM Plex Sans" w:ascii="IBM Plex Sans" w:hAnsi="IBM Plex Sans"/>
          <w:b w:val="false"/>
          <w:bCs w:val="false"/>
          <w:i w:val="false"/>
          <w:iCs w:val="false"/>
          <w:spacing w:val="39"/>
          <w:sz w:val="22"/>
          <w:szCs w:val="22"/>
          <w:u w:val="none"/>
        </w:rPr>
        <w:t xml:space="preserve"> </w:t>
      </w:r>
      <w:r>
        <w:rPr>
          <w:rFonts w:cs="IBM Plex Sans" w:ascii="IBM Plex Sans" w:hAnsi="IBM Plex Sans"/>
          <w:b w:val="false"/>
          <w:bCs w:val="false"/>
          <w:i w:val="false"/>
          <w:iCs w:val="false"/>
          <w:sz w:val="22"/>
          <w:szCs w:val="22"/>
          <w:u w:val="none"/>
        </w:rPr>
        <w:t>contornos</w:t>
      </w:r>
      <w:r>
        <w:rPr>
          <w:rFonts w:cs="IBM Plex Sans" w:ascii="IBM Plex Sans" w:hAnsi="IBM Plex Sans"/>
          <w:b w:val="false"/>
          <w:bCs w:val="false"/>
          <w:i w:val="false"/>
          <w:iCs w:val="false"/>
          <w:spacing w:val="39"/>
          <w:sz w:val="22"/>
          <w:szCs w:val="22"/>
          <w:u w:val="none"/>
        </w:rPr>
        <w:t xml:space="preserve"> </w:t>
      </w:r>
      <w:r>
        <w:rPr>
          <w:rFonts w:cs="IBM Plex Sans" w:ascii="IBM Plex Sans" w:hAnsi="IBM Plex Sans"/>
          <w:b w:val="false"/>
          <w:bCs w:val="false"/>
          <w:i w:val="false"/>
          <w:iCs w:val="false"/>
          <w:sz w:val="22"/>
          <w:szCs w:val="22"/>
          <w:u w:val="none"/>
        </w:rPr>
        <w:t>ha</w:t>
      </w:r>
      <w:r>
        <w:rPr>
          <w:rFonts w:cs="IBM Plex Sans" w:ascii="IBM Plex Sans" w:hAnsi="IBM Plex Sans"/>
          <w:b w:val="false"/>
          <w:bCs w:val="false"/>
          <w:i w:val="false"/>
          <w:iCs w:val="false"/>
          <w:spacing w:val="39"/>
          <w:sz w:val="22"/>
          <w:szCs w:val="22"/>
          <w:u w:val="none"/>
        </w:rPr>
        <w:t xml:space="preserve"> </w:t>
      </w:r>
      <w:r>
        <w:rPr>
          <w:rFonts w:cs="IBM Plex Sans" w:ascii="IBM Plex Sans" w:hAnsi="IBM Plex Sans"/>
          <w:b w:val="false"/>
          <w:bCs w:val="false"/>
          <w:i w:val="false"/>
          <w:iCs w:val="false"/>
          <w:sz w:val="22"/>
          <w:szCs w:val="22"/>
          <w:u w:val="none"/>
        </w:rPr>
        <w:t>dibujado</w:t>
      </w:r>
      <w:r>
        <w:rPr>
          <w:rFonts w:cs="IBM Plex Sans" w:ascii="IBM Plex Sans" w:hAnsi="IBM Plex Sans"/>
          <w:b w:val="false"/>
          <w:bCs w:val="false"/>
          <w:i w:val="false"/>
          <w:iCs w:val="false"/>
          <w:spacing w:val="40"/>
          <w:sz w:val="22"/>
          <w:szCs w:val="22"/>
          <w:u w:val="none"/>
        </w:rPr>
        <w:t xml:space="preserve"> </w:t>
      </w:r>
      <w:r>
        <w:rPr>
          <w:rFonts w:cs="IBM Plex Sans" w:ascii="IBM Plex Sans" w:hAnsi="IBM Plex Sans"/>
          <w:b w:val="false"/>
          <w:bCs w:val="false"/>
          <w:i w:val="false"/>
          <w:iCs w:val="false"/>
          <w:sz w:val="22"/>
          <w:szCs w:val="22"/>
          <w:u w:val="none"/>
        </w:rPr>
        <w:t>la</w:t>
      </w:r>
      <w:r>
        <w:rPr>
          <w:rFonts w:cs="IBM Plex Sans" w:ascii="IBM Plex Sans" w:hAnsi="IBM Plex Sans"/>
          <w:b w:val="false"/>
          <w:bCs w:val="false"/>
          <w:i w:val="false"/>
          <w:iCs w:val="false"/>
          <w:spacing w:val="39"/>
          <w:sz w:val="22"/>
          <w:szCs w:val="22"/>
          <w:u w:val="none"/>
        </w:rPr>
        <w:t xml:space="preserve"> </w:t>
      </w:r>
      <w:r>
        <w:rPr>
          <w:rFonts w:cs="IBM Plex Sans" w:ascii="IBM Plex Sans" w:hAnsi="IBM Plex Sans"/>
          <w:b w:val="false"/>
          <w:bCs w:val="false"/>
          <w:i w:val="false"/>
          <w:iCs w:val="false"/>
          <w:spacing w:val="-4"/>
          <w:sz w:val="22"/>
          <w:szCs w:val="22"/>
          <w:u w:val="none"/>
        </w:rPr>
        <w:t>jurisprudencia</w:t>
      </w:r>
      <w:r>
        <w:rPr>
          <w:rFonts w:cs="IBM Plex Sans" w:ascii="IBM Plex Sans" w:hAnsi="IBM Plex Sans"/>
          <w:b w:val="false"/>
          <w:bCs w:val="false"/>
          <w:i w:val="false"/>
          <w:iCs w:val="false"/>
          <w:spacing w:val="20"/>
          <w:sz w:val="22"/>
          <w:szCs w:val="22"/>
          <w:u w:val="none"/>
        </w:rPr>
        <w:t xml:space="preserve"> </w:t>
      </w:r>
      <w:r>
        <w:rPr>
          <w:rFonts w:cs="IBM Plex Sans" w:ascii="IBM Plex Sans" w:hAnsi="IBM Plex Sans"/>
          <w:b w:val="false"/>
          <w:bCs w:val="false"/>
          <w:i w:val="false"/>
          <w:iCs w:val="false"/>
          <w:sz w:val="22"/>
          <w:szCs w:val="22"/>
          <w:u w:val="none"/>
        </w:rPr>
        <w:t>utilizando conceptos genéricos. En este sentido, se han venido definiendo como menores aquellas obras que se caracterizan por su sencillez técnica y escasa entidad constructiva y económica.</w:t>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pPr>
      <w:r>
        <w:rPr>
          <w:rFonts w:cs="IBM Plex Sans" w:ascii="IBM Plex Sans" w:hAnsi="IBM Plex Sans"/>
          <w:b w:val="false"/>
          <w:bCs w:val="false"/>
          <w:i w:val="false"/>
          <w:iCs w:val="false"/>
          <w:sz w:val="22"/>
          <w:szCs w:val="22"/>
          <w:u w:val="none"/>
        </w:rPr>
        <w:t xml:space="preserve">En el caso de obras menores el Ayuntamiento de Agüimes en aras a mejorar </w:t>
      </w:r>
      <w:r>
        <w:rPr>
          <w:rFonts w:cs="IBM Plex Sans" w:ascii="IBM Plex Sans" w:hAnsi="IBM Plex Sans"/>
          <w:b w:val="false"/>
          <w:bCs w:val="false"/>
          <w:i w:val="false"/>
          <w:iCs w:val="false"/>
          <w:spacing w:val="-2"/>
          <w:sz w:val="22"/>
          <w:szCs w:val="22"/>
          <w:u w:val="none"/>
        </w:rPr>
        <w:t xml:space="preserve">los </w:t>
      </w:r>
      <w:r>
        <w:rPr>
          <w:rFonts w:cs="IBM Plex Sans" w:ascii="IBM Plex Sans" w:hAnsi="IBM Plex Sans"/>
          <w:b w:val="false"/>
          <w:bCs w:val="false"/>
          <w:i w:val="false"/>
          <w:iCs w:val="false"/>
          <w:sz w:val="22"/>
          <w:szCs w:val="22"/>
          <w:u w:val="none"/>
        </w:rPr>
        <w:t>servicios a los ciudadanos pretende establecer por medio de esta ordenanza la agilización del procedimiento para el otorgamiento de las licencias de obra menor. Para ello se distinguen dos procedimientos, uno para aquellas que por su sencillez especial y simplicidad no requieren de mayores comprobaciones previas ni ulteriores actuaciones administrativas, y otro para aquellas que pese a ser sencillas, requieren, una comprobación previa y la adopción de algunas cautelas que aconsejan tramitar su otorgamiento de forma</w:t>
      </w:r>
      <w:r>
        <w:rPr>
          <w:rFonts w:cs="IBM Plex Sans" w:ascii="IBM Plex Sans" w:hAnsi="IBM Plex Sans"/>
          <w:b w:val="false"/>
          <w:bCs w:val="false"/>
          <w:i w:val="false"/>
          <w:iCs w:val="false"/>
          <w:spacing w:val="-16"/>
          <w:sz w:val="22"/>
          <w:szCs w:val="22"/>
          <w:u w:val="none"/>
        </w:rPr>
        <w:t xml:space="preserve"> </w:t>
      </w:r>
      <w:r>
        <w:rPr>
          <w:rFonts w:cs="IBM Plex Sans" w:ascii="IBM Plex Sans" w:hAnsi="IBM Plex Sans"/>
          <w:b w:val="false"/>
          <w:bCs w:val="false"/>
          <w:i w:val="false"/>
          <w:iCs w:val="false"/>
          <w:sz w:val="22"/>
          <w:szCs w:val="22"/>
          <w:u w:val="none"/>
        </w:rPr>
        <w:t>expresa.</w:t>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pPr>
      <w:r>
        <w:rPr>
          <w:rFonts w:cs="IBM Plex Sans" w:ascii="IBM Plex Sans" w:hAnsi="IBM Plex Sans"/>
          <w:b w:val="false"/>
          <w:bCs w:val="false"/>
          <w:i w:val="false"/>
          <w:iCs w:val="false"/>
          <w:sz w:val="22"/>
          <w:szCs w:val="22"/>
          <w:u w:val="none"/>
        </w:rPr>
        <w:t>Para ello, se prevé un procedimiento especial denominado “Régimen de Comunicación” para esas obras de extrema sencillez, dejando para el resto el  ”Régimen</w:t>
      </w:r>
      <w:r>
        <w:rPr>
          <w:rFonts w:cs="IBM Plex Sans" w:ascii="IBM Plex Sans" w:hAnsi="IBM Plex Sans"/>
          <w:b w:val="false"/>
          <w:bCs w:val="false"/>
          <w:i w:val="false"/>
          <w:iCs w:val="false"/>
          <w:spacing w:val="-20"/>
          <w:sz w:val="22"/>
          <w:szCs w:val="22"/>
          <w:u w:val="none"/>
        </w:rPr>
        <w:t xml:space="preserve"> </w:t>
      </w:r>
      <w:r>
        <w:rPr>
          <w:rFonts w:cs="IBM Plex Sans" w:ascii="IBM Plex Sans" w:hAnsi="IBM Plex Sans"/>
          <w:b w:val="false"/>
          <w:bCs w:val="false"/>
          <w:i w:val="false"/>
          <w:iCs w:val="false"/>
          <w:sz w:val="22"/>
          <w:szCs w:val="22"/>
          <w:u w:val="none"/>
        </w:rPr>
        <w:t>Ordinario”.</w:t>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b/>
          <w:bCs/>
          <w:i w:val="false"/>
          <w:i w:val="false"/>
          <w:iCs w:val="false"/>
          <w:sz w:val="22"/>
          <w:szCs w:val="22"/>
          <w:u w:val="none"/>
        </w:rPr>
      </w:pPr>
      <w:r>
        <w:rPr>
          <w:rFonts w:cs="IBM Plex Sans" w:ascii="IBM Plex Sans" w:hAnsi="IBM Plex Sans"/>
          <w:b/>
          <w:bCs/>
          <w:i w:val="false"/>
          <w:iCs w:val="false"/>
          <w:sz w:val="22"/>
          <w:szCs w:val="22"/>
          <w:u w:val="none"/>
        </w:rPr>
        <w:t>TÍTULO PRELIMINAR.</w:t>
      </w:r>
    </w:p>
    <w:p>
      <w:pPr>
        <w:pStyle w:val="Normal"/>
        <w:jc w:val="left"/>
        <w:rPr>
          <w:rFonts w:ascii="IBM Plex Sans" w:hAnsi="IBM Plex Sans" w:cs="IBM Plex Sans"/>
          <w:b/>
          <w:b/>
          <w:bCs/>
          <w:i w:val="false"/>
          <w:i w:val="false"/>
          <w:iCs w:val="false"/>
          <w:sz w:val="22"/>
          <w:szCs w:val="22"/>
          <w:u w:val="none"/>
        </w:rPr>
      </w:pPr>
      <w:r>
        <w:rPr>
          <w:rFonts w:cs="IBM Plex Sans" w:ascii="IBM Plex Sans" w:hAnsi="IBM Plex Sans"/>
          <w:b/>
          <w:bCs/>
          <w:i w:val="false"/>
          <w:iCs w:val="false"/>
          <w:sz w:val="22"/>
          <w:szCs w:val="22"/>
          <w:u w:val="none"/>
        </w:rPr>
        <w:t>ARTÍCULO 1. OBJETO.</w:t>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t>El objeto de la presente Ordenanza es regular el procedimiento para la concesión de las licencias urbanísticas para obras menores cuya tramitación responde a procedimientos por acto comunicado y régimen ordinario.</w:t>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b/>
          <w:bCs/>
          <w:i w:val="false"/>
          <w:i w:val="false"/>
          <w:iCs w:val="false"/>
          <w:sz w:val="22"/>
          <w:szCs w:val="22"/>
          <w:u w:val="none"/>
        </w:rPr>
      </w:pPr>
      <w:r>
        <w:rPr>
          <w:rFonts w:cs="IBM Plex Sans" w:ascii="IBM Plex Sans" w:hAnsi="IBM Plex Sans"/>
          <w:b/>
          <w:bCs/>
          <w:i w:val="false"/>
          <w:iCs w:val="false"/>
          <w:sz w:val="22"/>
          <w:szCs w:val="22"/>
          <w:u w:val="none"/>
        </w:rPr>
        <w:t>ARTÍCULO 2. CONCEPTO DE OBRAS MENORES.</w:t>
      </w:r>
    </w:p>
    <w:p>
      <w:pPr>
        <w:pStyle w:val="Normal"/>
        <w:jc w:val="left"/>
        <w:rPr/>
      </w:pPr>
      <w:r>
        <w:rPr>
          <w:rFonts w:cs="IBM Plex Sans" w:ascii="IBM Plex Sans" w:hAnsi="IBM Plex Sans"/>
          <w:b w:val="false"/>
          <w:bCs w:val="false"/>
          <w:i w:val="false"/>
          <w:iCs w:val="false"/>
          <w:sz w:val="22"/>
          <w:szCs w:val="22"/>
          <w:u w:val="none"/>
        </w:rPr>
        <w:t xml:space="preserve">Se entiende por obras menores todas aquellas obras caracterizadas por su sencillez técnica y escasa entidad constructiva </w:t>
      </w:r>
      <w:r>
        <w:rPr>
          <w:rFonts w:cs="IBM Plex Sans" w:ascii="IBM Plex Sans" w:hAnsi="IBM Plex Sans"/>
          <w:b w:val="false"/>
          <w:bCs w:val="false"/>
          <w:i w:val="false"/>
          <w:iCs w:val="false"/>
          <w:spacing w:val="3"/>
          <w:sz w:val="22"/>
          <w:szCs w:val="22"/>
          <w:u w:val="none"/>
        </w:rPr>
        <w:t>yeconómica</w:t>
      </w:r>
      <w:r>
        <w:rPr>
          <w:rFonts w:cs="IBM Plex Sans" w:ascii="IBM Plex Sans" w:hAnsi="IBM Plex Sans"/>
          <w:b w:val="false"/>
          <w:bCs w:val="false"/>
          <w:i w:val="false"/>
          <w:iCs w:val="false"/>
          <w:color w:val="0000CC"/>
          <w:spacing w:val="3"/>
          <w:sz w:val="22"/>
          <w:szCs w:val="22"/>
          <w:u w:val="none"/>
        </w:rPr>
        <w:t xml:space="preserve">, </w:t>
      </w:r>
      <w:r>
        <w:rPr>
          <w:rFonts w:cs="IBM Plex Sans" w:ascii="IBM Plex Sans" w:hAnsi="IBM Plex Sans"/>
          <w:b w:val="false"/>
          <w:bCs w:val="false"/>
          <w:i w:val="false"/>
          <w:iCs w:val="false"/>
          <w:sz w:val="22"/>
          <w:szCs w:val="22"/>
          <w:u w:val="none"/>
        </w:rPr>
        <w:t xml:space="preserve">consistiendo normalmente en pequeñas obras de simple reparación, decoración, ornato o cerramiento, que no precisan de </w:t>
      </w:r>
      <w:r>
        <w:rPr>
          <w:rFonts w:cs="IBM Plex Sans" w:ascii="IBM Plex Sans" w:hAnsi="IBM Plex Sans"/>
          <w:b w:val="false"/>
          <w:bCs w:val="false"/>
          <w:i w:val="false"/>
          <w:iCs w:val="false"/>
          <w:spacing w:val="-3"/>
          <w:sz w:val="22"/>
          <w:szCs w:val="22"/>
          <w:u w:val="none"/>
        </w:rPr>
        <w:t xml:space="preserve">presupuesto </w:t>
      </w:r>
      <w:r>
        <w:rPr>
          <w:rFonts w:cs="IBM Plex Sans" w:ascii="IBM Plex Sans" w:hAnsi="IBM Plex Sans"/>
          <w:b w:val="false"/>
          <w:bCs w:val="false"/>
          <w:i w:val="false"/>
          <w:iCs w:val="false"/>
          <w:sz w:val="22"/>
          <w:szCs w:val="22"/>
          <w:u w:val="none"/>
        </w:rPr>
        <w:t>elevado, que no afecten a la estructura o elementos  sustentantes de un inmueble y que con escasa repercusión en el ambiente urbano, rural y</w:t>
      </w:r>
      <w:r>
        <w:rPr>
          <w:rFonts w:cs="IBM Plex Sans" w:ascii="IBM Plex Sans" w:hAnsi="IBM Plex Sans"/>
          <w:b w:val="false"/>
          <w:bCs w:val="false"/>
          <w:i w:val="false"/>
          <w:iCs w:val="false"/>
          <w:spacing w:val="2"/>
          <w:sz w:val="22"/>
          <w:szCs w:val="22"/>
          <w:u w:val="none"/>
        </w:rPr>
        <w:t xml:space="preserve"> </w:t>
      </w:r>
      <w:r>
        <w:rPr>
          <w:rFonts w:cs="IBM Plex Sans" w:ascii="IBM Plex Sans" w:hAnsi="IBM Plex Sans"/>
          <w:b w:val="false"/>
          <w:bCs w:val="false"/>
          <w:i w:val="false"/>
          <w:iCs w:val="false"/>
          <w:spacing w:val="-5"/>
          <w:sz w:val="22"/>
          <w:szCs w:val="22"/>
          <w:u w:val="none"/>
        </w:rPr>
        <w:t>natural.</w:t>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t>En particular son obras menores, todas aquellas no consideradas como mayores de acuerdo con la definición prevista en el artículo 3.5 del Anexo del Texto Refundido de la Leyes de Ordenación del Territorio de Canarias y de los Espacios Naturales de Canarias, aprobado decreto legislativo 1/2000 de 8 de mayo.</w:t>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b/>
          <w:bCs/>
          <w:i w:val="false"/>
          <w:i w:val="false"/>
          <w:iCs w:val="false"/>
          <w:sz w:val="22"/>
          <w:szCs w:val="22"/>
          <w:u w:val="none"/>
        </w:rPr>
      </w:pPr>
      <w:r>
        <w:rPr>
          <w:rFonts w:cs="IBM Plex Sans" w:ascii="IBM Plex Sans" w:hAnsi="IBM Plex Sans"/>
          <w:b/>
          <w:bCs/>
          <w:i w:val="false"/>
          <w:iCs w:val="false"/>
          <w:sz w:val="22"/>
          <w:szCs w:val="22"/>
          <w:u w:val="none"/>
        </w:rPr>
        <w:t>TÍTULO PRIMERO. RÉGIMEN DE COMUNICACIÓN.</w:t>
      </w:r>
    </w:p>
    <w:p>
      <w:pPr>
        <w:pStyle w:val="Normal"/>
        <w:jc w:val="left"/>
        <w:rPr>
          <w:rFonts w:ascii="IBM Plex Sans" w:hAnsi="IBM Plex Sans" w:cs="IBM Plex Sans"/>
          <w:b/>
          <w:b/>
          <w:bCs/>
          <w:i w:val="false"/>
          <w:i w:val="false"/>
          <w:iCs w:val="false"/>
          <w:sz w:val="22"/>
          <w:szCs w:val="22"/>
          <w:u w:val="none"/>
        </w:rPr>
      </w:pPr>
      <w:r>
        <w:rPr>
          <w:rFonts w:cs="IBM Plex Sans" w:ascii="IBM Plex Sans" w:hAnsi="IBM Plex Sans"/>
          <w:b/>
          <w:bCs/>
          <w:i w:val="false"/>
          <w:iCs w:val="false"/>
          <w:sz w:val="22"/>
          <w:szCs w:val="22"/>
          <w:u w:val="none"/>
        </w:rPr>
        <w:t>ARTÍCULO 3. TIPOLOGÍA OBRAS MENORES SUJETAS AL PROCEDIMIENTO POR ACTO COMUNICADO.</w:t>
      </w:r>
    </w:p>
    <w:p>
      <w:pPr>
        <w:pStyle w:val="Normal"/>
        <w:jc w:val="left"/>
        <w:rPr/>
      </w:pPr>
      <w:r>
        <w:rPr>
          <w:rFonts w:cs="IBM Plex Sans" w:ascii="IBM Plex Sans" w:hAnsi="IBM Plex Sans"/>
          <w:b w:val="false"/>
          <w:bCs w:val="false"/>
          <w:i w:val="false"/>
          <w:iCs w:val="false"/>
          <w:sz w:val="22"/>
          <w:szCs w:val="22"/>
          <w:u w:val="none"/>
        </w:rPr>
        <w:t xml:space="preserve">a) Por este procedimiento se tramitarán las solicitudes de licencias para la ejecución  de  actuaciones  que,  por  su  reducido  impacto  urbanístico  o </w:t>
      </w:r>
      <w:r>
        <w:rPr>
          <w:rFonts w:cs="IBM Plex Sans" w:ascii="IBM Plex Sans" w:hAnsi="IBM Plex Sans"/>
          <w:b w:val="false"/>
          <w:bCs w:val="false"/>
          <w:i w:val="false"/>
          <w:iCs w:val="false"/>
          <w:spacing w:val="29"/>
          <w:sz w:val="22"/>
          <w:szCs w:val="22"/>
          <w:u w:val="none"/>
        </w:rPr>
        <w:t xml:space="preserve"> </w:t>
      </w:r>
      <w:r>
        <w:rPr>
          <w:rFonts w:cs="IBM Plex Sans" w:ascii="IBM Plex Sans" w:hAnsi="IBM Plex Sans"/>
          <w:b w:val="false"/>
          <w:bCs w:val="false"/>
          <w:i w:val="false"/>
          <w:iCs w:val="false"/>
          <w:sz w:val="22"/>
          <w:szCs w:val="22"/>
          <w:u w:val="none"/>
        </w:rPr>
        <w:t>repercusión medioambiental y escasa entidad técnica, no requieran proyecto de obra, y sea suficiente un control inmediato por parte del Ayuntamiento para determinar su adecuación a la normativa aplicable.</w:t>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pPr>
      <w:r>
        <w:rPr>
          <w:rFonts w:cs="IBM Plex Sans" w:ascii="IBM Plex Sans" w:hAnsi="IBM Plex Sans"/>
          <w:b w:val="false"/>
          <w:bCs w:val="false"/>
          <w:i w:val="false"/>
          <w:iCs w:val="false"/>
          <w:sz w:val="22"/>
          <w:szCs w:val="22"/>
          <w:u w:val="none"/>
        </w:rPr>
        <w:t xml:space="preserve">b) Estarán sometidas a este tipo de procedimiento las </w:t>
      </w:r>
      <w:r>
        <w:rPr>
          <w:rFonts w:cs="IBM Plex Sans" w:ascii="IBM Plex Sans" w:hAnsi="IBM Plex Sans"/>
          <w:b w:val="false"/>
          <w:bCs w:val="false"/>
          <w:i w:val="false"/>
          <w:iCs w:val="false"/>
          <w:spacing w:val="-1"/>
          <w:sz w:val="22"/>
          <w:szCs w:val="22"/>
          <w:u w:val="none"/>
        </w:rPr>
        <w:t xml:space="preserve">siguientes </w:t>
      </w:r>
      <w:r>
        <w:rPr>
          <w:rFonts w:cs="IBM Plex Sans" w:ascii="IBM Plex Sans" w:hAnsi="IBM Plex Sans"/>
          <w:b w:val="false"/>
          <w:bCs w:val="false"/>
          <w:i w:val="false"/>
          <w:iCs w:val="false"/>
          <w:spacing w:val="-2"/>
          <w:sz w:val="22"/>
          <w:szCs w:val="22"/>
          <w:u w:val="none"/>
        </w:rPr>
        <w:t>actuaciones:</w:t>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t>Obras que se realicen en el interior de viviendas que consistan en sustitución de pavimentos y azulejos, renovación de revestimientos y pintados de paramentos, cambios de carpinterías, y cambios de aparatos sanitarios y reparación o sustitución de instalaciones de fontanería, saneamiento o electricidad. Estas actuaciones no pueden modificar la distribución interior del inmueble.</w:t>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pPr>
      <w:r>
        <w:rPr>
          <w:rFonts w:cs="IBM Plex Sans" w:ascii="IBM Plex Sans" w:hAnsi="IBM Plex Sans"/>
          <w:b w:val="false"/>
          <w:bCs w:val="false"/>
          <w:i w:val="false"/>
          <w:iCs w:val="false"/>
          <w:sz w:val="22"/>
          <w:szCs w:val="22"/>
          <w:u w:val="none"/>
        </w:rPr>
        <w:t xml:space="preserve">En el suelo urbano, elevación de vallados de muros de cerramiento ya existentes, hasta la máxima permitida por la Ordenanza, esto es, con altura de fábrica de bloques enfoscados y pintados con una altura máxima de 1,50 metros, que aseguren su estabilidad y conservación en buen estado, y aumentar </w:t>
      </w:r>
      <w:r>
        <w:rPr>
          <w:rFonts w:cs="IBM Plex Sans" w:ascii="IBM Plex Sans" w:hAnsi="IBM Plex Sans"/>
          <w:b w:val="false"/>
          <w:bCs w:val="false"/>
          <w:i w:val="false"/>
          <w:iCs w:val="false"/>
          <w:spacing w:val="-3"/>
          <w:sz w:val="22"/>
          <w:szCs w:val="22"/>
          <w:u w:val="none"/>
        </w:rPr>
        <w:t xml:space="preserve">hasta </w:t>
      </w:r>
      <w:r>
        <w:rPr>
          <w:rFonts w:cs="IBM Plex Sans" w:ascii="IBM Plex Sans" w:hAnsi="IBM Plex Sans"/>
          <w:b w:val="false"/>
          <w:bCs w:val="false"/>
          <w:i w:val="false"/>
          <w:iCs w:val="false"/>
          <w:sz w:val="22"/>
          <w:szCs w:val="22"/>
          <w:u w:val="none"/>
        </w:rPr>
        <w:t xml:space="preserve">los </w:t>
      </w:r>
      <w:r>
        <w:rPr>
          <w:rFonts w:cs="IBM Plex Sans" w:ascii="IBM Plex Sans" w:hAnsi="IBM Plex Sans"/>
          <w:b w:val="false"/>
          <w:bCs w:val="false"/>
          <w:i w:val="false"/>
          <w:iCs w:val="false"/>
          <w:spacing w:val="-3"/>
          <w:sz w:val="22"/>
          <w:szCs w:val="22"/>
          <w:u w:val="none"/>
        </w:rPr>
        <w:t xml:space="preserve">2,50 metros, mediante materiales permeables </w:t>
      </w:r>
      <w:r>
        <w:rPr>
          <w:rFonts w:cs="IBM Plex Sans" w:ascii="IBM Plex Sans" w:hAnsi="IBM Plex Sans"/>
          <w:b w:val="false"/>
          <w:bCs w:val="false"/>
          <w:i w:val="false"/>
          <w:iCs w:val="false"/>
          <w:sz w:val="22"/>
          <w:szCs w:val="22"/>
          <w:u w:val="none"/>
        </w:rPr>
        <w:t xml:space="preserve">a la </w:t>
      </w:r>
      <w:r>
        <w:rPr>
          <w:rFonts w:cs="IBM Plex Sans" w:ascii="IBM Plex Sans" w:hAnsi="IBM Plex Sans"/>
          <w:b w:val="false"/>
          <w:bCs w:val="false"/>
          <w:i w:val="false"/>
          <w:iCs w:val="false"/>
          <w:spacing w:val="-3"/>
          <w:sz w:val="22"/>
          <w:szCs w:val="22"/>
          <w:u w:val="none"/>
        </w:rPr>
        <w:t xml:space="preserve">vista, como reja, celosía, </w:t>
      </w:r>
      <w:r>
        <w:rPr>
          <w:rFonts w:cs="IBM Plex Sans" w:ascii="IBM Plex Sans" w:hAnsi="IBM Plex Sans"/>
          <w:b w:val="false"/>
          <w:bCs w:val="false"/>
          <w:i w:val="false"/>
          <w:iCs w:val="false"/>
          <w:sz w:val="22"/>
          <w:szCs w:val="22"/>
          <w:u w:val="none"/>
        </w:rPr>
        <w:t>vegetación, etc., quedando prohibido el remate de estos cerramientos con elementos potencialmente peligrosos que puedan causas lesiones a  personas</w:t>
      </w:r>
      <w:r>
        <w:rPr>
          <w:rFonts w:cs="IBM Plex Sans" w:ascii="IBM Plex Sans" w:hAnsi="IBM Plex Sans"/>
          <w:b w:val="false"/>
          <w:bCs w:val="false"/>
          <w:i w:val="false"/>
          <w:iCs w:val="false"/>
          <w:spacing w:val="-6"/>
          <w:sz w:val="22"/>
          <w:szCs w:val="22"/>
          <w:u w:val="none"/>
        </w:rPr>
        <w:t xml:space="preserve"> </w:t>
      </w:r>
      <w:r>
        <w:rPr>
          <w:rFonts w:cs="IBM Plex Sans" w:ascii="IBM Plex Sans" w:hAnsi="IBM Plex Sans"/>
          <w:b w:val="false"/>
          <w:bCs w:val="false"/>
          <w:i w:val="false"/>
          <w:iCs w:val="false"/>
          <w:sz w:val="22"/>
          <w:szCs w:val="22"/>
          <w:u w:val="none"/>
        </w:rPr>
        <w:t>o</w:t>
      </w:r>
      <w:r>
        <w:rPr>
          <w:rFonts w:cs="IBM Plex Sans" w:ascii="IBM Plex Sans" w:hAnsi="IBM Plex Sans"/>
          <w:b w:val="false"/>
          <w:bCs w:val="false"/>
          <w:i w:val="false"/>
          <w:iCs w:val="false"/>
          <w:spacing w:val="-6"/>
          <w:sz w:val="22"/>
          <w:szCs w:val="22"/>
          <w:u w:val="none"/>
        </w:rPr>
        <w:t xml:space="preserve"> </w:t>
      </w:r>
      <w:r>
        <w:rPr>
          <w:rFonts w:cs="IBM Plex Sans" w:ascii="IBM Plex Sans" w:hAnsi="IBM Plex Sans"/>
          <w:b w:val="false"/>
          <w:bCs w:val="false"/>
          <w:i w:val="false"/>
          <w:iCs w:val="false"/>
          <w:sz w:val="22"/>
          <w:szCs w:val="22"/>
          <w:u w:val="none"/>
        </w:rPr>
        <w:t>animales,</w:t>
      </w:r>
      <w:r>
        <w:rPr>
          <w:rFonts w:cs="IBM Plex Sans" w:ascii="IBM Plex Sans" w:hAnsi="IBM Plex Sans"/>
          <w:b w:val="false"/>
          <w:bCs w:val="false"/>
          <w:i w:val="false"/>
          <w:iCs w:val="false"/>
          <w:spacing w:val="-6"/>
          <w:sz w:val="22"/>
          <w:szCs w:val="22"/>
          <w:u w:val="none"/>
        </w:rPr>
        <w:t xml:space="preserve"> </w:t>
      </w:r>
      <w:r>
        <w:rPr>
          <w:rFonts w:cs="IBM Plex Sans" w:ascii="IBM Plex Sans" w:hAnsi="IBM Plex Sans"/>
          <w:b w:val="false"/>
          <w:bCs w:val="false"/>
          <w:i w:val="false"/>
          <w:iCs w:val="false"/>
          <w:sz w:val="22"/>
          <w:szCs w:val="22"/>
          <w:u w:val="none"/>
        </w:rPr>
        <w:t>tales</w:t>
      </w:r>
      <w:r>
        <w:rPr>
          <w:rFonts w:cs="IBM Plex Sans" w:ascii="IBM Plex Sans" w:hAnsi="IBM Plex Sans"/>
          <w:b w:val="false"/>
          <w:bCs w:val="false"/>
          <w:i w:val="false"/>
          <w:iCs w:val="false"/>
          <w:spacing w:val="-6"/>
          <w:sz w:val="22"/>
          <w:szCs w:val="22"/>
          <w:u w:val="none"/>
        </w:rPr>
        <w:t xml:space="preserve"> </w:t>
      </w:r>
      <w:r>
        <w:rPr>
          <w:rFonts w:cs="IBM Plex Sans" w:ascii="IBM Plex Sans" w:hAnsi="IBM Plex Sans"/>
          <w:b w:val="false"/>
          <w:bCs w:val="false"/>
          <w:i w:val="false"/>
          <w:iCs w:val="false"/>
          <w:sz w:val="22"/>
          <w:szCs w:val="22"/>
          <w:u w:val="none"/>
        </w:rPr>
        <w:t>como</w:t>
      </w:r>
      <w:r>
        <w:rPr>
          <w:rFonts w:cs="IBM Plex Sans" w:ascii="IBM Plex Sans" w:hAnsi="IBM Plex Sans"/>
          <w:b w:val="false"/>
          <w:bCs w:val="false"/>
          <w:i w:val="false"/>
          <w:iCs w:val="false"/>
          <w:spacing w:val="-6"/>
          <w:sz w:val="22"/>
          <w:szCs w:val="22"/>
          <w:u w:val="none"/>
        </w:rPr>
        <w:t xml:space="preserve"> </w:t>
      </w:r>
      <w:r>
        <w:rPr>
          <w:rFonts w:cs="IBM Plex Sans" w:ascii="IBM Plex Sans" w:hAnsi="IBM Plex Sans"/>
          <w:b w:val="false"/>
          <w:bCs w:val="false"/>
          <w:i w:val="false"/>
          <w:iCs w:val="false"/>
          <w:sz w:val="22"/>
          <w:szCs w:val="22"/>
          <w:u w:val="none"/>
        </w:rPr>
        <w:t>vidrio,</w:t>
      </w:r>
      <w:r>
        <w:rPr>
          <w:rFonts w:cs="IBM Plex Sans" w:ascii="IBM Plex Sans" w:hAnsi="IBM Plex Sans"/>
          <w:b w:val="false"/>
          <w:bCs w:val="false"/>
          <w:i w:val="false"/>
          <w:iCs w:val="false"/>
          <w:spacing w:val="-6"/>
          <w:sz w:val="22"/>
          <w:szCs w:val="22"/>
          <w:u w:val="none"/>
        </w:rPr>
        <w:t xml:space="preserve"> </w:t>
      </w:r>
      <w:r>
        <w:rPr>
          <w:rFonts w:cs="IBM Plex Sans" w:ascii="IBM Plex Sans" w:hAnsi="IBM Plex Sans"/>
          <w:b w:val="false"/>
          <w:bCs w:val="false"/>
          <w:i w:val="false"/>
          <w:iCs w:val="false"/>
          <w:sz w:val="22"/>
          <w:szCs w:val="22"/>
          <w:u w:val="none"/>
        </w:rPr>
        <w:t>espinos</w:t>
      </w:r>
      <w:r>
        <w:rPr>
          <w:rFonts w:cs="IBM Plex Sans" w:ascii="IBM Plex Sans" w:hAnsi="IBM Plex Sans"/>
          <w:b w:val="false"/>
          <w:bCs w:val="false"/>
          <w:i w:val="false"/>
          <w:iCs w:val="false"/>
          <w:spacing w:val="-6"/>
          <w:sz w:val="22"/>
          <w:szCs w:val="22"/>
          <w:u w:val="none"/>
        </w:rPr>
        <w:t xml:space="preserve"> </w:t>
      </w:r>
      <w:r>
        <w:rPr>
          <w:rFonts w:cs="IBM Plex Sans" w:ascii="IBM Plex Sans" w:hAnsi="IBM Plex Sans"/>
          <w:b w:val="false"/>
          <w:bCs w:val="false"/>
          <w:i w:val="false"/>
          <w:iCs w:val="false"/>
          <w:sz w:val="22"/>
          <w:szCs w:val="22"/>
          <w:u w:val="none"/>
        </w:rPr>
        <w:t>filos</w:t>
      </w:r>
      <w:r>
        <w:rPr>
          <w:rFonts w:cs="IBM Plex Sans" w:ascii="IBM Plex Sans" w:hAnsi="IBM Plex Sans"/>
          <w:b w:val="false"/>
          <w:bCs w:val="false"/>
          <w:i w:val="false"/>
          <w:iCs w:val="false"/>
          <w:spacing w:val="-6"/>
          <w:sz w:val="22"/>
          <w:szCs w:val="22"/>
          <w:u w:val="none"/>
        </w:rPr>
        <w:t xml:space="preserve"> </w:t>
      </w:r>
      <w:r>
        <w:rPr>
          <w:rFonts w:cs="IBM Plex Sans" w:ascii="IBM Plex Sans" w:hAnsi="IBM Plex Sans"/>
          <w:b w:val="false"/>
          <w:bCs w:val="false"/>
          <w:i w:val="false"/>
          <w:iCs w:val="false"/>
          <w:sz w:val="22"/>
          <w:szCs w:val="22"/>
          <w:u w:val="none"/>
        </w:rPr>
        <w:t>y</w:t>
      </w:r>
      <w:r>
        <w:rPr>
          <w:rFonts w:cs="IBM Plex Sans" w:ascii="IBM Plex Sans" w:hAnsi="IBM Plex Sans"/>
          <w:b w:val="false"/>
          <w:bCs w:val="false"/>
          <w:i w:val="false"/>
          <w:iCs w:val="false"/>
          <w:spacing w:val="-6"/>
          <w:sz w:val="22"/>
          <w:szCs w:val="22"/>
          <w:u w:val="none"/>
        </w:rPr>
        <w:t xml:space="preserve"> </w:t>
      </w:r>
      <w:r>
        <w:rPr>
          <w:rFonts w:cs="IBM Plex Sans" w:ascii="IBM Plex Sans" w:hAnsi="IBM Plex Sans"/>
          <w:b w:val="false"/>
          <w:bCs w:val="false"/>
          <w:i w:val="false"/>
          <w:iCs w:val="false"/>
          <w:spacing w:val="-2"/>
          <w:sz w:val="22"/>
          <w:szCs w:val="22"/>
          <w:u w:val="none"/>
        </w:rPr>
        <w:t>puntas.</w:t>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t>Limpieza y desbroce de terrenos, de la capa superficial del mismo sin modificar el perfil topográfico natural en suelo urbano o en suelo rústico de Asentamiento Rural.</w:t>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t>Revoco, enfoscado, pintura, renovación por deterioro, humedades o cualquier otra causa, cambio o sustitución de los materiales de acabado (aplacados, chapados etc...) por otros de la misma naturaleza, en fachada de inmuebles de  hasta dos (2) plantas.</w:t>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t>Colocación y/o sustitución de carpintería exterior por otra de igual o similar material en fachadas, sin modificación de huecos.</w:t>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pPr>
      <w:r>
        <w:rPr>
          <w:rFonts w:cs="IBM Plex Sans" w:ascii="IBM Plex Sans" w:hAnsi="IBM Plex Sans"/>
          <w:b w:val="false"/>
          <w:bCs w:val="false"/>
          <w:i w:val="false"/>
          <w:iCs w:val="false"/>
          <w:sz w:val="22"/>
          <w:szCs w:val="22"/>
          <w:u w:val="none"/>
        </w:rPr>
        <w:t>Impermeabilización, sustitución y/o reparación de pavimento, y</w:t>
      </w:r>
      <w:r>
        <w:rPr>
          <w:rFonts w:cs="IBM Plex Sans" w:ascii="IBM Plex Sans" w:hAnsi="IBM Plex Sans"/>
          <w:b w:val="false"/>
          <w:bCs w:val="false"/>
          <w:i w:val="false"/>
          <w:iCs w:val="false"/>
          <w:spacing w:val="-42"/>
          <w:sz w:val="22"/>
          <w:szCs w:val="22"/>
          <w:u w:val="none"/>
        </w:rPr>
        <w:t xml:space="preserve"> </w:t>
      </w:r>
      <w:r>
        <w:rPr>
          <w:rFonts w:cs="IBM Plex Sans" w:ascii="IBM Plex Sans" w:hAnsi="IBM Plex Sans"/>
          <w:b w:val="false"/>
          <w:bCs w:val="false"/>
          <w:i w:val="false"/>
          <w:iCs w:val="false"/>
          <w:sz w:val="22"/>
          <w:szCs w:val="22"/>
          <w:u w:val="none"/>
        </w:rPr>
        <w:t>elevación de pretiles hasta la altura permitida por la ordenanza urbanística en cubiertas planas transitables, esto es 1,20</w:t>
      </w:r>
      <w:r>
        <w:rPr>
          <w:rFonts w:cs="IBM Plex Sans" w:ascii="IBM Plex Sans" w:hAnsi="IBM Plex Sans"/>
          <w:b w:val="false"/>
          <w:bCs w:val="false"/>
          <w:i w:val="false"/>
          <w:iCs w:val="false"/>
          <w:spacing w:val="-21"/>
          <w:sz w:val="22"/>
          <w:szCs w:val="22"/>
          <w:u w:val="none"/>
        </w:rPr>
        <w:t xml:space="preserve"> </w:t>
      </w:r>
      <w:r>
        <w:rPr>
          <w:rFonts w:cs="IBM Plex Sans" w:ascii="IBM Plex Sans" w:hAnsi="IBM Plex Sans"/>
          <w:b w:val="false"/>
          <w:bCs w:val="false"/>
          <w:i w:val="false"/>
          <w:iCs w:val="false"/>
          <w:sz w:val="22"/>
          <w:szCs w:val="22"/>
          <w:u w:val="none"/>
        </w:rPr>
        <w:t>metros.</w:t>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t>Colocación de cajas de contadores de suministros en fachadas.</w:t>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t>Las pequeñas obras de instalación de agua de riego, que no precisan de presupuesto elevado y con una cuantía no superior a 600,00 euros, y con escasa repercusión en el ambiente urbano, rural y natural.</w:t>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pPr>
      <w:r>
        <w:rPr>
          <w:rFonts w:cs="IBM Plex Sans" w:ascii="IBM Plex Sans" w:hAnsi="IBM Plex Sans"/>
          <w:b w:val="false"/>
          <w:bCs w:val="false"/>
          <w:i w:val="false"/>
          <w:iCs w:val="false"/>
          <w:sz w:val="22"/>
          <w:szCs w:val="22"/>
          <w:u w:val="none"/>
        </w:rPr>
        <w:t>3. Estas obras no pueden afectar a las edificaciones incluidas en el Plan Especial de Protección y Reforma Interior del Casco Histórico de Agüimes y en el Plan de Especial de Ordenación de Temisas, edificios declarados bien de interés cultural ni a edificios fuera de ordenación, asimismo se entiende que afectan a edificios,</w:t>
      </w:r>
      <w:r>
        <w:rPr>
          <w:rFonts w:cs="IBM Plex Sans" w:ascii="IBM Plex Sans" w:hAnsi="IBM Plex Sans"/>
          <w:b w:val="false"/>
          <w:bCs w:val="false"/>
          <w:i w:val="false"/>
          <w:iCs w:val="false"/>
          <w:spacing w:val="-11"/>
          <w:sz w:val="22"/>
          <w:szCs w:val="22"/>
          <w:u w:val="none"/>
        </w:rPr>
        <w:t xml:space="preserve"> </w:t>
      </w:r>
      <w:r>
        <w:rPr>
          <w:rFonts w:cs="IBM Plex Sans" w:ascii="IBM Plex Sans" w:hAnsi="IBM Plex Sans"/>
          <w:b w:val="false"/>
          <w:bCs w:val="false"/>
          <w:i w:val="false"/>
          <w:iCs w:val="false"/>
          <w:sz w:val="22"/>
          <w:szCs w:val="22"/>
          <w:u w:val="none"/>
        </w:rPr>
        <w:t>viviendas,</w:t>
      </w:r>
      <w:r>
        <w:rPr>
          <w:rFonts w:cs="IBM Plex Sans" w:ascii="IBM Plex Sans" w:hAnsi="IBM Plex Sans"/>
          <w:b w:val="false"/>
          <w:bCs w:val="false"/>
          <w:i w:val="false"/>
          <w:iCs w:val="false"/>
          <w:spacing w:val="-11"/>
          <w:sz w:val="22"/>
          <w:szCs w:val="22"/>
          <w:u w:val="none"/>
        </w:rPr>
        <w:t xml:space="preserve"> </w:t>
      </w:r>
      <w:r>
        <w:rPr>
          <w:rFonts w:cs="IBM Plex Sans" w:ascii="IBM Plex Sans" w:hAnsi="IBM Plex Sans"/>
          <w:b w:val="false"/>
          <w:bCs w:val="false"/>
          <w:i w:val="false"/>
          <w:iCs w:val="false"/>
          <w:sz w:val="22"/>
          <w:szCs w:val="22"/>
          <w:u w:val="none"/>
        </w:rPr>
        <w:t>o</w:t>
      </w:r>
      <w:r>
        <w:rPr>
          <w:rFonts w:cs="IBM Plex Sans" w:ascii="IBM Plex Sans" w:hAnsi="IBM Plex Sans"/>
          <w:b w:val="false"/>
          <w:bCs w:val="false"/>
          <w:i w:val="false"/>
          <w:iCs w:val="false"/>
          <w:spacing w:val="-11"/>
          <w:sz w:val="22"/>
          <w:szCs w:val="22"/>
          <w:u w:val="none"/>
        </w:rPr>
        <w:t xml:space="preserve"> </w:t>
      </w:r>
      <w:r>
        <w:rPr>
          <w:rFonts w:cs="IBM Plex Sans" w:ascii="IBM Plex Sans" w:hAnsi="IBM Plex Sans"/>
          <w:b w:val="false"/>
          <w:bCs w:val="false"/>
          <w:i w:val="false"/>
          <w:iCs w:val="false"/>
          <w:sz w:val="22"/>
          <w:szCs w:val="22"/>
          <w:u w:val="none"/>
        </w:rPr>
        <w:t>instalaciones</w:t>
      </w:r>
      <w:r>
        <w:rPr>
          <w:rFonts w:cs="IBM Plex Sans" w:ascii="IBM Plex Sans" w:hAnsi="IBM Plex Sans"/>
          <w:b w:val="false"/>
          <w:bCs w:val="false"/>
          <w:i w:val="false"/>
          <w:iCs w:val="false"/>
          <w:spacing w:val="-11"/>
          <w:sz w:val="22"/>
          <w:szCs w:val="22"/>
          <w:u w:val="none"/>
        </w:rPr>
        <w:t xml:space="preserve"> </w:t>
      </w:r>
      <w:r>
        <w:rPr>
          <w:rFonts w:cs="IBM Plex Sans" w:ascii="IBM Plex Sans" w:hAnsi="IBM Plex Sans"/>
          <w:b w:val="false"/>
          <w:bCs w:val="false"/>
          <w:i w:val="false"/>
          <w:iCs w:val="false"/>
          <w:sz w:val="22"/>
          <w:szCs w:val="22"/>
          <w:u w:val="none"/>
        </w:rPr>
        <w:t>totalmente</w:t>
      </w:r>
      <w:r>
        <w:rPr>
          <w:rFonts w:cs="IBM Plex Sans" w:ascii="IBM Plex Sans" w:hAnsi="IBM Plex Sans"/>
          <w:b w:val="false"/>
          <w:bCs w:val="false"/>
          <w:i w:val="false"/>
          <w:iCs w:val="false"/>
          <w:spacing w:val="-11"/>
          <w:sz w:val="22"/>
          <w:szCs w:val="22"/>
          <w:u w:val="none"/>
        </w:rPr>
        <w:t xml:space="preserve"> </w:t>
      </w:r>
      <w:r>
        <w:rPr>
          <w:rFonts w:cs="IBM Plex Sans" w:ascii="IBM Plex Sans" w:hAnsi="IBM Plex Sans"/>
          <w:b w:val="false"/>
          <w:bCs w:val="false"/>
          <w:i w:val="false"/>
          <w:iCs w:val="false"/>
          <w:sz w:val="22"/>
          <w:szCs w:val="22"/>
          <w:u w:val="none"/>
        </w:rPr>
        <w:t>legales.</w:t>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b/>
          <w:bCs/>
          <w:i w:val="false"/>
          <w:i w:val="false"/>
          <w:iCs w:val="false"/>
          <w:sz w:val="22"/>
          <w:szCs w:val="22"/>
          <w:u w:val="none"/>
        </w:rPr>
      </w:pPr>
      <w:r>
        <w:rPr>
          <w:rFonts w:cs="IBM Plex Sans" w:ascii="IBM Plex Sans" w:hAnsi="IBM Plex Sans"/>
          <w:b/>
          <w:bCs/>
          <w:i w:val="false"/>
          <w:iCs w:val="false"/>
          <w:sz w:val="22"/>
          <w:szCs w:val="22"/>
          <w:u w:val="none"/>
        </w:rPr>
        <w:t>ARTÍCULO 4. PROCEDIMIENTO POR ACTO COMUNICADO.</w:t>
      </w:r>
    </w:p>
    <w:p>
      <w:pPr>
        <w:pStyle w:val="Normal"/>
        <w:jc w:val="left"/>
        <w:rPr/>
      </w:pPr>
      <w:r>
        <w:rPr>
          <w:rFonts w:cs="IBM Plex Sans" w:ascii="IBM Plex Sans" w:hAnsi="IBM Plex Sans"/>
          <w:b w:val="false"/>
          <w:bCs w:val="false"/>
          <w:i w:val="false"/>
          <w:iCs w:val="false"/>
          <w:sz w:val="22"/>
          <w:szCs w:val="22"/>
          <w:u w:val="none"/>
        </w:rPr>
        <w:t>1. La comunicación deberá efectuarse en el impreso normalizado por la Administración Municipal y presentarse en la Oficina de Atención Ciudadana junto con la documentación completa establecida en el artículo 5., con una antelación mínima de quince (15) días hábiles a la fecha en que pretenda iniciar la ejecución de la</w:t>
      </w:r>
      <w:r>
        <w:rPr>
          <w:rFonts w:cs="IBM Plex Sans" w:ascii="IBM Plex Sans" w:hAnsi="IBM Plex Sans"/>
          <w:b w:val="false"/>
          <w:bCs w:val="false"/>
          <w:i w:val="false"/>
          <w:iCs w:val="false"/>
          <w:spacing w:val="-6"/>
          <w:sz w:val="22"/>
          <w:szCs w:val="22"/>
          <w:u w:val="none"/>
        </w:rPr>
        <w:t xml:space="preserve"> </w:t>
      </w:r>
      <w:r>
        <w:rPr>
          <w:rFonts w:cs="IBM Plex Sans" w:ascii="IBM Plex Sans" w:hAnsi="IBM Plex Sans"/>
          <w:b w:val="false"/>
          <w:bCs w:val="false"/>
          <w:i w:val="false"/>
          <w:iCs w:val="false"/>
          <w:spacing w:val="-4"/>
          <w:sz w:val="22"/>
          <w:szCs w:val="22"/>
          <w:u w:val="none"/>
        </w:rPr>
        <w:t>obra.</w:t>
      </w:r>
    </w:p>
    <w:p>
      <w:pPr>
        <w:pStyle w:val="Normal"/>
        <w:jc w:val="left"/>
        <w:rPr/>
      </w:pPr>
      <w:r>
        <w:rPr>
          <w:rFonts w:cs="IBM Plex Sans" w:ascii="IBM Plex Sans" w:hAnsi="IBM Plex Sans"/>
          <w:b w:val="false"/>
          <w:bCs w:val="false"/>
          <w:i w:val="false"/>
          <w:iCs w:val="false"/>
          <w:sz w:val="22"/>
          <w:szCs w:val="22"/>
          <w:u w:val="none"/>
        </w:rPr>
        <w:t>2. La documentación completa será analizada por el departamento</w:t>
      </w:r>
      <w:r>
        <w:rPr>
          <w:rFonts w:cs="IBM Plex Sans" w:ascii="IBM Plex Sans" w:hAnsi="IBM Plex Sans"/>
          <w:b w:val="false"/>
          <w:bCs w:val="false"/>
          <w:i w:val="false"/>
          <w:iCs w:val="false"/>
          <w:spacing w:val="-10"/>
          <w:sz w:val="22"/>
          <w:szCs w:val="22"/>
          <w:u w:val="none"/>
        </w:rPr>
        <w:t xml:space="preserve"> </w:t>
      </w:r>
      <w:r>
        <w:rPr>
          <w:rFonts w:cs="IBM Plex Sans" w:ascii="IBM Plex Sans" w:hAnsi="IBM Plex Sans"/>
          <w:b w:val="false"/>
          <w:bCs w:val="false"/>
          <w:i w:val="false"/>
          <w:iCs w:val="false"/>
          <w:sz w:val="22"/>
          <w:szCs w:val="22"/>
          <w:u w:val="none"/>
        </w:rPr>
        <w:t>encargado de tramitar las licencias, pudiendo suceder</w:t>
      </w:r>
      <w:r>
        <w:rPr>
          <w:rFonts w:cs="IBM Plex Sans" w:ascii="IBM Plex Sans" w:hAnsi="IBM Plex Sans"/>
          <w:b w:val="false"/>
          <w:bCs w:val="false"/>
          <w:i w:val="false"/>
          <w:iCs w:val="false"/>
          <w:spacing w:val="-12"/>
          <w:sz w:val="22"/>
          <w:szCs w:val="22"/>
          <w:u w:val="none"/>
        </w:rPr>
        <w:t xml:space="preserve"> </w:t>
      </w:r>
      <w:r>
        <w:rPr>
          <w:rFonts w:cs="IBM Plex Sans" w:ascii="IBM Plex Sans" w:hAnsi="IBM Plex Sans"/>
          <w:b w:val="false"/>
          <w:bCs w:val="false"/>
          <w:i w:val="false"/>
          <w:iCs w:val="false"/>
          <w:sz w:val="22"/>
          <w:szCs w:val="22"/>
          <w:u w:val="none"/>
        </w:rPr>
        <w:t>que:</w:t>
      </w:r>
    </w:p>
    <w:p>
      <w:pPr>
        <w:pStyle w:val="Normal"/>
        <w:jc w:val="left"/>
        <w:rPr/>
      </w:pPr>
      <w:r>
        <w:rPr>
          <w:rFonts w:cs="IBM Plex Sans" w:ascii="IBM Plex Sans" w:hAnsi="IBM Plex Sans"/>
          <w:b w:val="false"/>
          <w:bCs w:val="false"/>
          <w:i w:val="false"/>
          <w:iCs w:val="false"/>
          <w:sz w:val="22"/>
          <w:szCs w:val="22"/>
          <w:u w:val="none"/>
        </w:rPr>
        <w:t xml:space="preserve">a) Se considere que la actuación comunicada no está incluida entre </w:t>
      </w:r>
      <w:r>
        <w:rPr>
          <w:rFonts w:cs="IBM Plex Sans" w:ascii="IBM Plex Sans" w:hAnsi="IBM Plex Sans"/>
          <w:b w:val="false"/>
          <w:bCs w:val="false"/>
          <w:i w:val="false"/>
          <w:iCs w:val="false"/>
          <w:spacing w:val="-2"/>
          <w:sz w:val="22"/>
          <w:szCs w:val="22"/>
          <w:u w:val="none"/>
        </w:rPr>
        <w:t xml:space="preserve">las </w:t>
      </w:r>
      <w:r>
        <w:rPr>
          <w:rFonts w:cs="IBM Plex Sans" w:ascii="IBM Plex Sans" w:hAnsi="IBM Plex Sans"/>
          <w:b w:val="false"/>
          <w:bCs w:val="false"/>
          <w:i w:val="false"/>
          <w:iCs w:val="false"/>
          <w:sz w:val="22"/>
          <w:szCs w:val="22"/>
          <w:u w:val="none"/>
        </w:rPr>
        <w:t xml:space="preserve">previstas para ser tramitadas por este procedimiento, en cuyo caso, se </w:t>
      </w:r>
      <w:r>
        <w:rPr>
          <w:rFonts w:cs="IBM Plex Sans" w:ascii="IBM Plex Sans" w:hAnsi="IBM Plex Sans"/>
          <w:b w:val="false"/>
          <w:bCs w:val="false"/>
          <w:i w:val="false"/>
          <w:iCs w:val="false"/>
          <w:spacing w:val="-2"/>
          <w:sz w:val="22"/>
          <w:szCs w:val="22"/>
          <w:u w:val="none"/>
        </w:rPr>
        <w:t xml:space="preserve">deberá </w:t>
      </w:r>
      <w:r>
        <w:rPr>
          <w:rFonts w:cs="IBM Plex Sans" w:ascii="IBM Plex Sans" w:hAnsi="IBM Plex Sans"/>
          <w:b w:val="false"/>
          <w:bCs w:val="false"/>
          <w:i w:val="false"/>
          <w:iCs w:val="false"/>
          <w:sz w:val="22"/>
          <w:szCs w:val="22"/>
          <w:u w:val="none"/>
        </w:rPr>
        <w:t>notificar al solicitante, en plazo no superior a diez (10) días hábiles, la necesidad de que ajuste su actuación a las normas establecidas para el tipo de licencia de que se trate, según las características de la obra a</w:t>
      </w:r>
      <w:r>
        <w:rPr>
          <w:rFonts w:cs="IBM Plex Sans" w:ascii="IBM Plex Sans" w:hAnsi="IBM Plex Sans"/>
          <w:b w:val="false"/>
          <w:bCs w:val="false"/>
          <w:i w:val="false"/>
          <w:iCs w:val="false"/>
          <w:spacing w:val="-24"/>
          <w:sz w:val="22"/>
          <w:szCs w:val="22"/>
          <w:u w:val="none"/>
        </w:rPr>
        <w:t xml:space="preserve"> </w:t>
      </w:r>
      <w:r>
        <w:rPr>
          <w:rFonts w:cs="IBM Plex Sans" w:ascii="IBM Plex Sans" w:hAnsi="IBM Plex Sans"/>
          <w:b w:val="false"/>
          <w:bCs w:val="false"/>
          <w:i w:val="false"/>
          <w:iCs w:val="false"/>
          <w:sz w:val="22"/>
          <w:szCs w:val="22"/>
          <w:u w:val="none"/>
        </w:rPr>
        <w:t>ejecutar.</w:t>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pPr>
      <w:r>
        <w:rPr>
          <w:rFonts w:cs="IBM Plex Sans" w:ascii="IBM Plex Sans" w:hAnsi="IBM Plex Sans"/>
          <w:b w:val="false"/>
          <w:bCs w:val="false"/>
          <w:i w:val="false"/>
          <w:iCs w:val="false"/>
          <w:sz w:val="22"/>
          <w:szCs w:val="22"/>
          <w:u w:val="none"/>
        </w:rPr>
        <w:t xml:space="preserve">b) Del examen de la documentación se comprueba que está incompleta, en este caso se requerirá al solicitante en un plazo inferior a diez (10) hábiles para  que complete la documentación. Una vez aportadas y comprobada que es correcta se </w:t>
      </w:r>
      <w:r>
        <w:rPr>
          <w:rFonts w:cs="IBM Plex Sans" w:ascii="IBM Plex Sans" w:hAnsi="IBM Plex Sans"/>
          <w:b w:val="false"/>
          <w:bCs w:val="false"/>
          <w:i w:val="false"/>
          <w:iCs w:val="false"/>
          <w:spacing w:val="-3"/>
          <w:sz w:val="22"/>
          <w:szCs w:val="22"/>
          <w:u w:val="none"/>
        </w:rPr>
        <w:t xml:space="preserve">procederá </w:t>
      </w:r>
      <w:r>
        <w:rPr>
          <w:rFonts w:cs="IBM Plex Sans" w:ascii="IBM Plex Sans" w:hAnsi="IBM Plex Sans"/>
          <w:b w:val="false"/>
          <w:bCs w:val="false"/>
          <w:i w:val="false"/>
          <w:iCs w:val="false"/>
          <w:sz w:val="22"/>
          <w:szCs w:val="22"/>
          <w:u w:val="none"/>
        </w:rPr>
        <w:t xml:space="preserve">tal y </w:t>
      </w:r>
      <w:r>
        <w:rPr>
          <w:rFonts w:cs="IBM Plex Sans" w:ascii="IBM Plex Sans" w:hAnsi="IBM Plex Sans"/>
          <w:b w:val="false"/>
          <w:bCs w:val="false"/>
          <w:i w:val="false"/>
          <w:iCs w:val="false"/>
          <w:spacing w:val="-3"/>
          <w:sz w:val="22"/>
          <w:szCs w:val="22"/>
          <w:u w:val="none"/>
        </w:rPr>
        <w:t xml:space="preserve">como </w:t>
      </w:r>
      <w:r>
        <w:rPr>
          <w:rFonts w:cs="IBM Plex Sans" w:ascii="IBM Plex Sans" w:hAnsi="IBM Plex Sans"/>
          <w:b w:val="false"/>
          <w:bCs w:val="false"/>
          <w:i w:val="false"/>
          <w:iCs w:val="false"/>
          <w:sz w:val="22"/>
          <w:szCs w:val="22"/>
          <w:u w:val="none"/>
        </w:rPr>
        <w:t xml:space="preserve">se </w:t>
      </w:r>
      <w:r>
        <w:rPr>
          <w:rFonts w:cs="IBM Plex Sans" w:ascii="IBM Plex Sans" w:hAnsi="IBM Plex Sans"/>
          <w:b w:val="false"/>
          <w:bCs w:val="false"/>
          <w:i w:val="false"/>
          <w:iCs w:val="false"/>
          <w:spacing w:val="-3"/>
          <w:sz w:val="22"/>
          <w:szCs w:val="22"/>
          <w:u w:val="none"/>
        </w:rPr>
        <w:t xml:space="preserve">indica </w:t>
      </w:r>
      <w:r>
        <w:rPr>
          <w:rFonts w:cs="IBM Plex Sans" w:ascii="IBM Plex Sans" w:hAnsi="IBM Plex Sans"/>
          <w:b w:val="false"/>
          <w:bCs w:val="false"/>
          <w:i w:val="false"/>
          <w:iCs w:val="false"/>
          <w:sz w:val="22"/>
          <w:szCs w:val="22"/>
          <w:u w:val="none"/>
        </w:rPr>
        <w:t xml:space="preserve">en el </w:t>
      </w:r>
      <w:r>
        <w:rPr>
          <w:rFonts w:cs="IBM Plex Sans" w:ascii="IBM Plex Sans" w:hAnsi="IBM Plex Sans"/>
          <w:b w:val="false"/>
          <w:bCs w:val="false"/>
          <w:i w:val="false"/>
          <w:iCs w:val="false"/>
          <w:spacing w:val="-3"/>
          <w:sz w:val="22"/>
          <w:szCs w:val="22"/>
          <w:u w:val="none"/>
        </w:rPr>
        <w:t xml:space="preserve">apartado </w:t>
      </w:r>
      <w:r>
        <w:rPr>
          <w:rFonts w:cs="IBM Plex Sans" w:ascii="IBM Plex Sans" w:hAnsi="IBM Plex Sans"/>
          <w:b w:val="false"/>
          <w:bCs w:val="false"/>
          <w:i w:val="false"/>
          <w:iCs w:val="false"/>
          <w:sz w:val="22"/>
          <w:szCs w:val="22"/>
          <w:u w:val="none"/>
        </w:rPr>
        <w:t>c. Si transcurrido el plazo de subsanación no se hubiera presentado la documentación requerida, se archivarán las actuaciones sin más</w:t>
      </w:r>
      <w:r>
        <w:rPr>
          <w:rFonts w:cs="IBM Plex Sans" w:ascii="IBM Plex Sans" w:hAnsi="IBM Plex Sans"/>
          <w:b w:val="false"/>
          <w:bCs w:val="false"/>
          <w:i w:val="false"/>
          <w:iCs w:val="false"/>
          <w:spacing w:val="-34"/>
          <w:sz w:val="22"/>
          <w:szCs w:val="22"/>
          <w:u w:val="none"/>
        </w:rPr>
        <w:t xml:space="preserve"> </w:t>
      </w:r>
      <w:r>
        <w:rPr>
          <w:rFonts w:cs="IBM Plex Sans" w:ascii="IBM Plex Sans" w:hAnsi="IBM Plex Sans"/>
          <w:b w:val="false"/>
          <w:bCs w:val="false"/>
          <w:i w:val="false"/>
          <w:iCs w:val="false"/>
          <w:sz w:val="22"/>
          <w:szCs w:val="22"/>
          <w:u w:val="none"/>
        </w:rPr>
        <w:t>trámites.</w:t>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pPr>
      <w:r>
        <w:rPr>
          <w:rFonts w:cs="IBM Plex Sans" w:ascii="IBM Plex Sans" w:hAnsi="IBM Plex Sans"/>
          <w:b w:val="false"/>
          <w:bCs w:val="false"/>
          <w:i w:val="false"/>
          <w:iCs w:val="false"/>
          <w:sz w:val="22"/>
          <w:szCs w:val="22"/>
          <w:u w:val="none"/>
        </w:rPr>
        <w:t xml:space="preserve">c) Del examen de la documentación se considera que es correcta, siendo así, el Servicio Técnico Municipal, </w:t>
      </w:r>
      <w:r>
        <w:rPr>
          <w:rFonts w:cs="IBM Plex Sans" w:ascii="IBM Plex Sans" w:hAnsi="IBM Plex Sans"/>
          <w:b w:val="false"/>
          <w:bCs w:val="false"/>
          <w:i w:val="false"/>
          <w:iCs w:val="false"/>
          <w:spacing w:val="-3"/>
          <w:sz w:val="22"/>
          <w:szCs w:val="22"/>
          <w:u w:val="none"/>
        </w:rPr>
        <w:t xml:space="preserve">dará </w:t>
      </w:r>
      <w:r>
        <w:rPr>
          <w:rFonts w:cs="IBM Plex Sans" w:ascii="IBM Plex Sans" w:hAnsi="IBM Plex Sans"/>
          <w:b w:val="false"/>
          <w:bCs w:val="false"/>
          <w:i w:val="false"/>
          <w:iCs w:val="false"/>
          <w:sz w:val="22"/>
          <w:szCs w:val="22"/>
          <w:u w:val="none"/>
        </w:rPr>
        <w:t xml:space="preserve">su </w:t>
      </w:r>
      <w:r>
        <w:rPr>
          <w:rFonts w:cs="IBM Plex Sans" w:ascii="IBM Plex Sans" w:hAnsi="IBM Plex Sans"/>
          <w:b w:val="false"/>
          <w:bCs w:val="false"/>
          <w:i w:val="false"/>
          <w:iCs w:val="false"/>
          <w:spacing w:val="-3"/>
          <w:sz w:val="22"/>
          <w:szCs w:val="22"/>
          <w:u w:val="none"/>
        </w:rPr>
        <w:t xml:space="preserve">visto </w:t>
      </w:r>
      <w:r>
        <w:rPr>
          <w:rFonts w:cs="IBM Plex Sans" w:ascii="IBM Plex Sans" w:hAnsi="IBM Plex Sans"/>
          <w:b w:val="false"/>
          <w:bCs w:val="false"/>
          <w:i w:val="false"/>
          <w:iCs w:val="false"/>
          <w:sz w:val="22"/>
          <w:szCs w:val="22"/>
          <w:u w:val="none"/>
        </w:rPr>
        <w:t>bueno, firmando y sellando la solicitud de acto comunicado. Transcurrido el plazo de quince (15) días, la comunicación efectuada producirá los efectos de Licencia Urbanística de Obra Menor, siempre y cuando se haya presentado toda la documentación reque rida para tal actuación y los técnicos municipales no observen impedimento técnico alguno a la ejecución de la obra solicitada. Con esta actuación se da por terminado el procedimiento y se ordenará, sin más trámites, el archivo de la documentación, sin perjuicio de la capacidad del Ayuntamiento, a través de sus Técnicos Municipales y/o Agentes de la Autoridad, para realizar las visitas de inspección que estime convenientes a fin de controlar que lo realmente ejecutado se ajusta a  lo solicitado por acto</w:t>
      </w:r>
      <w:r>
        <w:rPr>
          <w:rFonts w:cs="IBM Plex Sans" w:ascii="IBM Plex Sans" w:hAnsi="IBM Plex Sans"/>
          <w:b w:val="false"/>
          <w:bCs w:val="false"/>
          <w:i w:val="false"/>
          <w:iCs w:val="false"/>
          <w:spacing w:val="-24"/>
          <w:sz w:val="22"/>
          <w:szCs w:val="22"/>
          <w:u w:val="none"/>
        </w:rPr>
        <w:t xml:space="preserve"> </w:t>
      </w:r>
      <w:r>
        <w:rPr>
          <w:rFonts w:cs="IBM Plex Sans" w:ascii="IBM Plex Sans" w:hAnsi="IBM Plex Sans"/>
          <w:b w:val="false"/>
          <w:bCs w:val="false"/>
          <w:i w:val="false"/>
          <w:iCs w:val="false"/>
          <w:sz w:val="22"/>
          <w:szCs w:val="22"/>
          <w:u w:val="none"/>
        </w:rPr>
        <w:t>comunicado.</w:t>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t>Le será de aplicación lo previsto, con carácter general, en la legislación urbanística autonómica en cuanto a los efectos, plazos y caducidad de Licencias Urbanísticas.</w:t>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b/>
          <w:bCs/>
          <w:i w:val="false"/>
          <w:i w:val="false"/>
          <w:iCs w:val="false"/>
          <w:sz w:val="22"/>
          <w:szCs w:val="22"/>
          <w:u w:val="none"/>
        </w:rPr>
      </w:pPr>
      <w:r>
        <w:rPr>
          <w:rFonts w:cs="IBM Plex Sans" w:ascii="IBM Plex Sans" w:hAnsi="IBM Plex Sans"/>
          <w:b/>
          <w:bCs/>
          <w:i w:val="false"/>
          <w:iCs w:val="false"/>
          <w:sz w:val="22"/>
          <w:szCs w:val="22"/>
          <w:u w:val="none"/>
        </w:rPr>
        <w:t>ARTÍCULO 5. DOCUMENTACIÓN EXIGIDA.</w:t>
      </w:r>
    </w:p>
    <w:p>
      <w:pPr>
        <w:pStyle w:val="Normal"/>
        <w:jc w:val="left"/>
        <w:rPr/>
      </w:pPr>
      <w:r>
        <w:rPr>
          <w:rFonts w:cs="IBM Plex Sans" w:ascii="IBM Plex Sans" w:hAnsi="IBM Plex Sans"/>
          <w:b w:val="false"/>
          <w:bCs w:val="false"/>
          <w:i w:val="false"/>
          <w:iCs w:val="false"/>
          <w:sz w:val="22"/>
          <w:szCs w:val="22"/>
          <w:u w:val="none"/>
        </w:rPr>
        <w:t xml:space="preserve">5.1. Con </w:t>
      </w:r>
      <w:r>
        <w:rPr>
          <w:rFonts w:cs="IBM Plex Sans" w:ascii="IBM Plex Sans" w:hAnsi="IBM Plex Sans"/>
          <w:b w:val="false"/>
          <w:bCs w:val="false"/>
          <w:i w:val="false"/>
          <w:iCs w:val="false"/>
          <w:spacing w:val="-3"/>
          <w:sz w:val="22"/>
          <w:szCs w:val="22"/>
          <w:u w:val="none"/>
        </w:rPr>
        <w:t xml:space="preserve">carácter general, para todos </w:t>
      </w:r>
      <w:r>
        <w:rPr>
          <w:rFonts w:cs="IBM Plex Sans" w:ascii="IBM Plex Sans" w:hAnsi="IBM Plex Sans"/>
          <w:b w:val="false"/>
          <w:bCs w:val="false"/>
          <w:i w:val="false"/>
          <w:iCs w:val="false"/>
          <w:sz w:val="22"/>
          <w:szCs w:val="22"/>
          <w:u w:val="none"/>
        </w:rPr>
        <w:t>los supuestos se deberá presentar en la Oficina de Atención</w:t>
      </w:r>
      <w:r>
        <w:rPr>
          <w:rFonts w:cs="IBM Plex Sans" w:ascii="IBM Plex Sans" w:hAnsi="IBM Plex Sans"/>
          <w:b w:val="false"/>
          <w:bCs w:val="false"/>
          <w:i w:val="false"/>
          <w:iCs w:val="false"/>
          <w:spacing w:val="-12"/>
          <w:sz w:val="22"/>
          <w:szCs w:val="22"/>
          <w:u w:val="none"/>
        </w:rPr>
        <w:t xml:space="preserve"> </w:t>
      </w:r>
      <w:r>
        <w:rPr>
          <w:rFonts w:cs="IBM Plex Sans" w:ascii="IBM Plex Sans" w:hAnsi="IBM Plex Sans"/>
          <w:b w:val="false"/>
          <w:bCs w:val="false"/>
          <w:i w:val="false"/>
          <w:iCs w:val="false"/>
          <w:sz w:val="22"/>
          <w:szCs w:val="22"/>
          <w:u w:val="none"/>
        </w:rPr>
        <w:t>Ciudadana:</w:t>
      </w:r>
    </w:p>
    <w:p>
      <w:pPr>
        <w:pStyle w:val="Normal"/>
        <w:jc w:val="left"/>
        <w:rPr/>
      </w:pPr>
      <w:r>
        <w:rPr>
          <w:rFonts w:cs="IBM Plex Sans" w:ascii="IBM Plex Sans" w:hAnsi="IBM Plex Sans"/>
          <w:b w:val="false"/>
          <w:bCs w:val="false"/>
          <w:i w:val="false"/>
          <w:iCs w:val="false"/>
          <w:sz w:val="22"/>
          <w:szCs w:val="22"/>
          <w:u w:val="none"/>
        </w:rPr>
        <w:t xml:space="preserve">a)Instancia normalizada por el Ayuntamiento para obras de actuaciones comunicadas con los datos personales de identificación y dirección a efectos de notificaciones y en la que debe constar  necesariamente la dirección de la obra a realizar. Dicha instancia figura en el </w:t>
      </w:r>
      <w:r>
        <w:rPr>
          <w:rFonts w:cs="IBM Plex Sans" w:ascii="IBM Plex Sans" w:hAnsi="IBM Plex Sans"/>
          <w:b w:val="false"/>
          <w:bCs w:val="false"/>
          <w:i w:val="false"/>
          <w:iCs w:val="false"/>
          <w:spacing w:val="-3"/>
          <w:sz w:val="22"/>
          <w:szCs w:val="22"/>
          <w:u w:val="none"/>
        </w:rPr>
        <w:t xml:space="preserve">Anexo </w:t>
      </w:r>
      <w:r>
        <w:rPr>
          <w:rFonts w:cs="IBM Plex Sans" w:ascii="IBM Plex Sans" w:hAnsi="IBM Plex Sans"/>
          <w:b w:val="false"/>
          <w:bCs w:val="false"/>
          <w:i w:val="false"/>
          <w:iCs w:val="false"/>
          <w:sz w:val="22"/>
          <w:szCs w:val="22"/>
          <w:u w:val="none"/>
        </w:rPr>
        <w:t>I.</w:t>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pPr>
      <w:r>
        <w:rPr>
          <w:rFonts w:cs="IBM Plex Sans" w:ascii="IBM Plex Sans" w:hAnsi="IBM Plex Sans"/>
          <w:b w:val="false"/>
          <w:bCs w:val="false"/>
          <w:i w:val="false"/>
          <w:iCs w:val="false"/>
          <w:sz w:val="22"/>
          <w:szCs w:val="22"/>
          <w:u w:val="none"/>
        </w:rPr>
        <w:t xml:space="preserve">b) Acreditación de representación, en su caso, tanto a </w:t>
      </w:r>
      <w:r>
        <w:rPr>
          <w:rFonts w:cs="IBM Plex Sans" w:ascii="IBM Plex Sans" w:hAnsi="IBM Plex Sans"/>
          <w:b w:val="false"/>
          <w:bCs w:val="false"/>
          <w:i w:val="false"/>
          <w:iCs w:val="false"/>
          <w:spacing w:val="-2"/>
          <w:sz w:val="22"/>
          <w:szCs w:val="22"/>
          <w:u w:val="none"/>
        </w:rPr>
        <w:t xml:space="preserve">título </w:t>
      </w:r>
      <w:r>
        <w:rPr>
          <w:rFonts w:cs="IBM Plex Sans" w:ascii="IBM Plex Sans" w:hAnsi="IBM Plex Sans"/>
          <w:b w:val="false"/>
          <w:bCs w:val="false"/>
          <w:i w:val="false"/>
          <w:iCs w:val="false"/>
          <w:sz w:val="22"/>
          <w:szCs w:val="22"/>
          <w:u w:val="none"/>
        </w:rPr>
        <w:t>particular, legal o</w:t>
      </w:r>
      <w:r>
        <w:rPr>
          <w:rFonts w:cs="IBM Plex Sans" w:ascii="IBM Plex Sans" w:hAnsi="IBM Plex Sans"/>
          <w:b w:val="false"/>
          <w:bCs w:val="false"/>
          <w:i w:val="false"/>
          <w:iCs w:val="false"/>
          <w:spacing w:val="-22"/>
          <w:sz w:val="22"/>
          <w:szCs w:val="22"/>
          <w:u w:val="none"/>
        </w:rPr>
        <w:t xml:space="preserve"> </w:t>
      </w:r>
      <w:r>
        <w:rPr>
          <w:rFonts w:cs="IBM Plex Sans" w:ascii="IBM Plex Sans" w:hAnsi="IBM Plex Sans"/>
          <w:b w:val="false"/>
          <w:bCs w:val="false"/>
          <w:i w:val="false"/>
          <w:iCs w:val="false"/>
          <w:spacing w:val="-2"/>
          <w:sz w:val="22"/>
          <w:szCs w:val="22"/>
          <w:u w:val="none"/>
        </w:rPr>
        <w:t>profesional.</w:t>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pPr>
      <w:r>
        <w:rPr>
          <w:rFonts w:cs="IBM Plex Sans" w:ascii="IBM Plex Sans" w:hAnsi="IBM Plex Sans"/>
          <w:b w:val="false"/>
          <w:bCs w:val="false"/>
          <w:i w:val="false"/>
          <w:iCs w:val="false"/>
          <w:sz w:val="22"/>
          <w:szCs w:val="22"/>
          <w:u w:val="none"/>
        </w:rPr>
        <w:t xml:space="preserve">c) Memoria descriptiva de los trabajos y presupuesto de </w:t>
      </w:r>
      <w:r>
        <w:rPr>
          <w:rFonts w:cs="IBM Plex Sans" w:ascii="IBM Plex Sans" w:hAnsi="IBM Plex Sans"/>
          <w:b w:val="false"/>
          <w:bCs w:val="false"/>
          <w:i w:val="false"/>
          <w:iCs w:val="false"/>
          <w:spacing w:val="-2"/>
          <w:sz w:val="22"/>
          <w:szCs w:val="22"/>
          <w:u w:val="none"/>
        </w:rPr>
        <w:t xml:space="preserve">los </w:t>
      </w:r>
      <w:r>
        <w:rPr>
          <w:rFonts w:cs="IBM Plex Sans" w:ascii="IBM Plex Sans" w:hAnsi="IBM Plex Sans"/>
          <w:b w:val="false"/>
          <w:bCs w:val="false"/>
          <w:i w:val="false"/>
          <w:iCs w:val="false"/>
          <w:sz w:val="22"/>
          <w:szCs w:val="22"/>
          <w:u w:val="none"/>
        </w:rPr>
        <w:t>mismos.</w:t>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pPr>
      <w:r>
        <w:rPr>
          <w:rFonts w:cs="IBM Plex Sans" w:ascii="IBM Plex Sans" w:hAnsi="IBM Plex Sans"/>
          <w:b w:val="false"/>
          <w:bCs w:val="false"/>
          <w:i w:val="false"/>
          <w:iCs w:val="false"/>
          <w:sz w:val="22"/>
          <w:szCs w:val="22"/>
          <w:u w:val="none"/>
        </w:rPr>
        <w:t>d) Declaración responsable según el modelo normalizado por esta Ordenanza en el anexo</w:t>
      </w:r>
      <w:r>
        <w:rPr>
          <w:rFonts w:cs="IBM Plex Sans" w:ascii="IBM Plex Sans" w:hAnsi="IBM Plex Sans"/>
          <w:b w:val="false"/>
          <w:bCs w:val="false"/>
          <w:i w:val="false"/>
          <w:iCs w:val="false"/>
          <w:spacing w:val="-8"/>
          <w:sz w:val="22"/>
          <w:szCs w:val="22"/>
          <w:u w:val="none"/>
        </w:rPr>
        <w:t xml:space="preserve"> </w:t>
      </w:r>
      <w:r>
        <w:rPr>
          <w:rFonts w:cs="IBM Plex Sans" w:ascii="IBM Plex Sans" w:hAnsi="IBM Plex Sans"/>
          <w:b w:val="false"/>
          <w:bCs w:val="false"/>
          <w:i w:val="false"/>
          <w:iCs w:val="false"/>
          <w:spacing w:val="-2"/>
          <w:sz w:val="22"/>
          <w:szCs w:val="22"/>
          <w:u w:val="none"/>
        </w:rPr>
        <w:t>II.</w:t>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pPr>
      <w:r>
        <w:rPr>
          <w:rFonts w:cs="IBM Plex Sans" w:ascii="IBM Plex Sans" w:hAnsi="IBM Plex Sans"/>
          <w:b w:val="false"/>
          <w:bCs w:val="false"/>
          <w:i w:val="false"/>
          <w:iCs w:val="false"/>
          <w:sz w:val="22"/>
          <w:szCs w:val="22"/>
          <w:u w:val="none"/>
        </w:rPr>
        <w:t>e) Plano de</w:t>
      </w:r>
      <w:r>
        <w:rPr>
          <w:rFonts w:cs="IBM Plex Sans" w:ascii="IBM Plex Sans" w:hAnsi="IBM Plex Sans"/>
          <w:b w:val="false"/>
          <w:bCs w:val="false"/>
          <w:i w:val="false"/>
          <w:iCs w:val="false"/>
          <w:spacing w:val="-1"/>
          <w:sz w:val="22"/>
          <w:szCs w:val="22"/>
          <w:u w:val="none"/>
        </w:rPr>
        <w:t xml:space="preserve"> </w:t>
      </w:r>
      <w:r>
        <w:rPr>
          <w:rFonts w:cs="IBM Plex Sans" w:ascii="IBM Plex Sans" w:hAnsi="IBM Plex Sans"/>
          <w:b w:val="false"/>
          <w:bCs w:val="false"/>
          <w:i w:val="false"/>
          <w:iCs w:val="false"/>
          <w:sz w:val="22"/>
          <w:szCs w:val="22"/>
          <w:u w:val="none"/>
        </w:rPr>
        <w:t>situación.</w:t>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pPr>
      <w:r>
        <w:rPr>
          <w:rFonts w:cs="IBM Plex Sans" w:ascii="IBM Plex Sans" w:hAnsi="IBM Plex Sans"/>
          <w:b w:val="false"/>
          <w:bCs w:val="false"/>
          <w:i w:val="false"/>
          <w:iCs w:val="false"/>
          <w:sz w:val="22"/>
          <w:szCs w:val="22"/>
          <w:u w:val="none"/>
        </w:rPr>
        <w:t>5.2. Documentación</w:t>
      </w:r>
      <w:r>
        <w:rPr>
          <w:rFonts w:cs="IBM Plex Sans" w:ascii="IBM Plex Sans" w:hAnsi="IBM Plex Sans"/>
          <w:b w:val="false"/>
          <w:bCs w:val="false"/>
          <w:i w:val="false"/>
          <w:iCs w:val="false"/>
          <w:spacing w:val="-7"/>
          <w:sz w:val="22"/>
          <w:szCs w:val="22"/>
          <w:u w:val="none"/>
        </w:rPr>
        <w:t xml:space="preserve"> </w:t>
      </w:r>
      <w:r>
        <w:rPr>
          <w:rFonts w:cs="IBM Plex Sans" w:ascii="IBM Plex Sans" w:hAnsi="IBM Plex Sans"/>
          <w:b w:val="false"/>
          <w:bCs w:val="false"/>
          <w:i w:val="false"/>
          <w:iCs w:val="false"/>
          <w:sz w:val="22"/>
          <w:szCs w:val="22"/>
          <w:u w:val="none"/>
        </w:rPr>
        <w:t>específica</w:t>
      </w:r>
      <w:r>
        <w:rPr>
          <w:rFonts w:cs="IBM Plex Sans" w:ascii="IBM Plex Sans" w:hAnsi="IBM Plex Sans"/>
          <w:b w:val="false"/>
          <w:bCs w:val="false"/>
          <w:i w:val="false"/>
          <w:iCs w:val="false"/>
          <w:spacing w:val="-7"/>
          <w:sz w:val="22"/>
          <w:szCs w:val="22"/>
          <w:u w:val="none"/>
        </w:rPr>
        <w:t xml:space="preserve"> </w:t>
      </w:r>
      <w:r>
        <w:rPr>
          <w:rFonts w:cs="IBM Plex Sans" w:ascii="IBM Plex Sans" w:hAnsi="IBM Plex Sans"/>
          <w:b w:val="false"/>
          <w:bCs w:val="false"/>
          <w:i w:val="false"/>
          <w:iCs w:val="false"/>
          <w:sz w:val="22"/>
          <w:szCs w:val="22"/>
          <w:u w:val="none"/>
        </w:rPr>
        <w:t>en</w:t>
      </w:r>
      <w:r>
        <w:rPr>
          <w:rFonts w:cs="IBM Plex Sans" w:ascii="IBM Plex Sans" w:hAnsi="IBM Plex Sans"/>
          <w:b w:val="false"/>
          <w:bCs w:val="false"/>
          <w:i w:val="false"/>
          <w:iCs w:val="false"/>
          <w:spacing w:val="-7"/>
          <w:sz w:val="22"/>
          <w:szCs w:val="22"/>
          <w:u w:val="none"/>
        </w:rPr>
        <w:t xml:space="preserve"> </w:t>
      </w:r>
      <w:r>
        <w:rPr>
          <w:rFonts w:cs="IBM Plex Sans" w:ascii="IBM Plex Sans" w:hAnsi="IBM Plex Sans"/>
          <w:b w:val="false"/>
          <w:bCs w:val="false"/>
          <w:i w:val="false"/>
          <w:iCs w:val="false"/>
          <w:sz w:val="22"/>
          <w:szCs w:val="22"/>
          <w:u w:val="none"/>
        </w:rPr>
        <w:t>función</w:t>
      </w:r>
      <w:r>
        <w:rPr>
          <w:rFonts w:cs="IBM Plex Sans" w:ascii="IBM Plex Sans" w:hAnsi="IBM Plex Sans"/>
          <w:b w:val="false"/>
          <w:bCs w:val="false"/>
          <w:i w:val="false"/>
          <w:iCs w:val="false"/>
          <w:spacing w:val="-7"/>
          <w:sz w:val="22"/>
          <w:szCs w:val="22"/>
          <w:u w:val="none"/>
        </w:rPr>
        <w:t xml:space="preserve"> </w:t>
      </w:r>
      <w:r>
        <w:rPr>
          <w:rFonts w:cs="IBM Plex Sans" w:ascii="IBM Plex Sans" w:hAnsi="IBM Plex Sans"/>
          <w:b w:val="false"/>
          <w:bCs w:val="false"/>
          <w:i w:val="false"/>
          <w:iCs w:val="false"/>
          <w:sz w:val="22"/>
          <w:szCs w:val="22"/>
          <w:u w:val="none"/>
        </w:rPr>
        <w:t>del</w:t>
      </w:r>
      <w:r>
        <w:rPr>
          <w:rFonts w:cs="IBM Plex Sans" w:ascii="IBM Plex Sans" w:hAnsi="IBM Plex Sans"/>
          <w:b w:val="false"/>
          <w:bCs w:val="false"/>
          <w:i w:val="false"/>
          <w:iCs w:val="false"/>
          <w:spacing w:val="-7"/>
          <w:sz w:val="22"/>
          <w:szCs w:val="22"/>
          <w:u w:val="none"/>
        </w:rPr>
        <w:t xml:space="preserve"> </w:t>
      </w:r>
      <w:r>
        <w:rPr>
          <w:rFonts w:cs="IBM Plex Sans" w:ascii="IBM Plex Sans" w:hAnsi="IBM Plex Sans"/>
          <w:b w:val="false"/>
          <w:bCs w:val="false"/>
          <w:i w:val="false"/>
          <w:iCs w:val="false"/>
          <w:sz w:val="22"/>
          <w:szCs w:val="22"/>
          <w:u w:val="none"/>
        </w:rPr>
        <w:t>tipo</w:t>
      </w:r>
      <w:r>
        <w:rPr>
          <w:rFonts w:cs="IBM Plex Sans" w:ascii="IBM Plex Sans" w:hAnsi="IBM Plex Sans"/>
          <w:b w:val="false"/>
          <w:bCs w:val="false"/>
          <w:i w:val="false"/>
          <w:iCs w:val="false"/>
          <w:spacing w:val="-7"/>
          <w:sz w:val="22"/>
          <w:szCs w:val="22"/>
          <w:u w:val="none"/>
        </w:rPr>
        <w:t xml:space="preserve"> </w:t>
      </w:r>
      <w:r>
        <w:rPr>
          <w:rFonts w:cs="IBM Plex Sans" w:ascii="IBM Plex Sans" w:hAnsi="IBM Plex Sans"/>
          <w:b w:val="false"/>
          <w:bCs w:val="false"/>
          <w:i w:val="false"/>
          <w:iCs w:val="false"/>
          <w:sz w:val="22"/>
          <w:szCs w:val="22"/>
          <w:u w:val="none"/>
        </w:rPr>
        <w:t>de</w:t>
      </w:r>
      <w:r>
        <w:rPr>
          <w:rFonts w:cs="IBM Plex Sans" w:ascii="IBM Plex Sans" w:hAnsi="IBM Plex Sans"/>
          <w:b w:val="false"/>
          <w:bCs w:val="false"/>
          <w:i w:val="false"/>
          <w:iCs w:val="false"/>
          <w:spacing w:val="-7"/>
          <w:sz w:val="22"/>
          <w:szCs w:val="22"/>
          <w:u w:val="none"/>
        </w:rPr>
        <w:t xml:space="preserve"> </w:t>
      </w:r>
      <w:r>
        <w:rPr>
          <w:rFonts w:cs="IBM Plex Sans" w:ascii="IBM Plex Sans" w:hAnsi="IBM Plex Sans"/>
          <w:b w:val="false"/>
          <w:bCs w:val="false"/>
          <w:i w:val="false"/>
          <w:iCs w:val="false"/>
          <w:sz w:val="22"/>
          <w:szCs w:val="22"/>
          <w:u w:val="none"/>
        </w:rPr>
        <w:t>obras</w:t>
      </w:r>
      <w:r>
        <w:rPr>
          <w:rFonts w:cs="IBM Plex Sans" w:ascii="IBM Plex Sans" w:hAnsi="IBM Plex Sans"/>
          <w:b w:val="false"/>
          <w:bCs w:val="false"/>
          <w:i w:val="false"/>
          <w:iCs w:val="false"/>
          <w:spacing w:val="-7"/>
          <w:sz w:val="22"/>
          <w:szCs w:val="22"/>
          <w:u w:val="none"/>
        </w:rPr>
        <w:t xml:space="preserve"> </w:t>
      </w:r>
      <w:r>
        <w:rPr>
          <w:rFonts w:cs="IBM Plex Sans" w:ascii="IBM Plex Sans" w:hAnsi="IBM Plex Sans"/>
          <w:b w:val="false"/>
          <w:bCs w:val="false"/>
          <w:i w:val="false"/>
          <w:iCs w:val="false"/>
          <w:sz w:val="22"/>
          <w:szCs w:val="22"/>
          <w:u w:val="none"/>
        </w:rPr>
        <w:t>a</w:t>
      </w:r>
      <w:r>
        <w:rPr>
          <w:rFonts w:cs="IBM Plex Sans" w:ascii="IBM Plex Sans" w:hAnsi="IBM Plex Sans"/>
          <w:b w:val="false"/>
          <w:bCs w:val="false"/>
          <w:i w:val="false"/>
          <w:iCs w:val="false"/>
          <w:spacing w:val="-7"/>
          <w:sz w:val="22"/>
          <w:szCs w:val="22"/>
          <w:u w:val="none"/>
        </w:rPr>
        <w:t xml:space="preserve"> </w:t>
      </w:r>
      <w:r>
        <w:rPr>
          <w:rFonts w:cs="IBM Plex Sans" w:ascii="IBM Plex Sans" w:hAnsi="IBM Plex Sans"/>
          <w:b w:val="false"/>
          <w:bCs w:val="false"/>
          <w:i w:val="false"/>
          <w:iCs w:val="false"/>
          <w:sz w:val="22"/>
          <w:szCs w:val="22"/>
          <w:u w:val="none"/>
        </w:rPr>
        <w:t>realizar:</w:t>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t>1. En el caso de actuaciones en fachadas y/o cubiertas de inmuebles deberán presentar: fotografías de los elementos sobre los que se vaya a actuar y certificado del secretario o acuerdo de la Comunidad de Propietarios en su caso.</w:t>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b/>
          <w:bCs/>
          <w:i w:val="false"/>
          <w:i w:val="false"/>
          <w:iCs w:val="false"/>
          <w:sz w:val="22"/>
          <w:szCs w:val="22"/>
          <w:u w:val="none"/>
        </w:rPr>
      </w:pPr>
      <w:r>
        <w:rPr>
          <w:rFonts w:cs="IBM Plex Sans" w:ascii="IBM Plex Sans" w:hAnsi="IBM Plex Sans"/>
          <w:b/>
          <w:bCs/>
          <w:i w:val="false"/>
          <w:iCs w:val="false"/>
          <w:sz w:val="22"/>
          <w:szCs w:val="22"/>
          <w:u w:val="none"/>
        </w:rPr>
      </w:r>
    </w:p>
    <w:p>
      <w:pPr>
        <w:pStyle w:val="Normal"/>
        <w:jc w:val="left"/>
        <w:rPr>
          <w:rFonts w:ascii="IBM Plex Sans" w:hAnsi="IBM Plex Sans" w:cs="IBM Plex Sans"/>
          <w:b/>
          <w:b/>
          <w:bCs/>
          <w:i w:val="false"/>
          <w:i w:val="false"/>
          <w:iCs w:val="false"/>
          <w:sz w:val="22"/>
          <w:szCs w:val="22"/>
          <w:u w:val="none"/>
        </w:rPr>
      </w:pPr>
      <w:r>
        <w:rPr>
          <w:rFonts w:cs="IBM Plex Sans" w:ascii="IBM Plex Sans" w:hAnsi="IBM Plex Sans"/>
          <w:b/>
          <w:bCs/>
          <w:i w:val="false"/>
          <w:iCs w:val="false"/>
          <w:sz w:val="22"/>
          <w:szCs w:val="22"/>
          <w:u w:val="none"/>
        </w:rPr>
        <w:t>TÍTULO SEGUNDO. RÉGIMEN ORDINARIO.</w:t>
      </w:r>
    </w:p>
    <w:p>
      <w:pPr>
        <w:pStyle w:val="Normal"/>
        <w:jc w:val="left"/>
        <w:rPr>
          <w:rFonts w:ascii="IBM Plex Sans" w:hAnsi="IBM Plex Sans" w:cs="IBM Plex Sans"/>
          <w:b/>
          <w:b/>
          <w:bCs/>
          <w:i w:val="false"/>
          <w:i w:val="false"/>
          <w:iCs w:val="false"/>
          <w:sz w:val="22"/>
          <w:szCs w:val="22"/>
          <w:u w:val="none"/>
        </w:rPr>
      </w:pPr>
      <w:r>
        <w:rPr>
          <w:rFonts w:cs="IBM Plex Sans" w:ascii="IBM Plex Sans" w:hAnsi="IBM Plex Sans"/>
          <w:b/>
          <w:bCs/>
          <w:i w:val="false"/>
          <w:iCs w:val="false"/>
          <w:sz w:val="22"/>
          <w:szCs w:val="22"/>
          <w:u w:val="none"/>
        </w:rPr>
        <w:t>ARTÍCULO 6. TIPOLOGÍA OBRAS MENORES SUJETAS AL PROCEDIMIENTO ORDINARIO.</w:t>
      </w:r>
    </w:p>
    <w:p>
      <w:pPr>
        <w:pStyle w:val="Normal"/>
        <w:jc w:val="left"/>
        <w:rPr/>
      </w:pPr>
      <w:r>
        <w:rPr>
          <w:rFonts w:cs="IBM Plex Sans" w:ascii="IBM Plex Sans" w:hAnsi="IBM Plex Sans"/>
          <w:b w:val="false"/>
          <w:bCs w:val="false"/>
          <w:i w:val="false"/>
          <w:iCs w:val="false"/>
          <w:sz w:val="22"/>
          <w:szCs w:val="22"/>
          <w:u w:val="none"/>
        </w:rPr>
        <w:t>El resto de solicitudes de Licencias de Obra Menor, se tramitarán por el procedimiento reglamentariamente establecido en el Decreto 183/2004</w:t>
      </w:r>
      <w:r>
        <w:rPr>
          <w:rFonts w:cs="IBM Plex Sans" w:ascii="IBM Plex Sans" w:hAnsi="IBM Plex Sans"/>
          <w:b w:val="false"/>
          <w:bCs w:val="false"/>
          <w:i w:val="false"/>
          <w:iCs w:val="false"/>
          <w:color w:val="FF0000"/>
          <w:sz w:val="22"/>
          <w:szCs w:val="22"/>
          <w:u w:val="none"/>
        </w:rPr>
        <w:t xml:space="preserve">, </w:t>
      </w:r>
      <w:r>
        <w:rPr>
          <w:rFonts w:cs="IBM Plex Sans" w:ascii="IBM Plex Sans" w:hAnsi="IBM Plex Sans"/>
          <w:b w:val="false"/>
          <w:bCs w:val="false"/>
          <w:i w:val="false"/>
          <w:iCs w:val="false"/>
          <w:sz w:val="22"/>
          <w:szCs w:val="22"/>
          <w:u w:val="none"/>
        </w:rPr>
        <w:t>de 21 de diciembre, por el que se aprueba el Reglamento de gestión y ejecución del sistema de planeamiento de Canarias, aprobado en desarrollo del Texto Refundido de las Leyes de Ordenación del Territorio de Canarias y de los Espacios Naturales de Canarias, aprobado por Decreto Legislativo 1/2000, de 08 de mayo, y la documentación exigida conforme a esta ordenanza.</w:t>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pPr>
      <w:r>
        <w:rPr>
          <w:rFonts w:cs="IBM Plex Sans" w:ascii="IBM Plex Sans" w:hAnsi="IBM Plex Sans"/>
          <w:b w:val="false"/>
          <w:bCs w:val="false"/>
          <w:i w:val="false"/>
          <w:iCs w:val="false"/>
          <w:sz w:val="22"/>
          <w:szCs w:val="22"/>
          <w:u w:val="none"/>
        </w:rPr>
        <w:t>Se consideran obras menores objeto de tramitación por el procedimiento</w:t>
      </w:r>
      <w:r>
        <w:rPr>
          <w:rFonts w:cs="IBM Plex Sans" w:ascii="IBM Plex Sans" w:hAnsi="IBM Plex Sans"/>
          <w:b w:val="false"/>
          <w:bCs w:val="false"/>
          <w:i w:val="false"/>
          <w:iCs w:val="false"/>
          <w:spacing w:val="-1"/>
          <w:sz w:val="22"/>
          <w:szCs w:val="22"/>
          <w:u w:val="none"/>
        </w:rPr>
        <w:t xml:space="preserve"> </w:t>
      </w:r>
      <w:r>
        <w:rPr>
          <w:rFonts w:cs="IBM Plex Sans" w:ascii="IBM Plex Sans" w:hAnsi="IBM Plex Sans"/>
          <w:b w:val="false"/>
          <w:bCs w:val="false"/>
          <w:i w:val="false"/>
          <w:iCs w:val="false"/>
          <w:sz w:val="22"/>
          <w:szCs w:val="22"/>
          <w:u w:val="none"/>
        </w:rPr>
        <w:t>ordinario, las</w:t>
      </w:r>
      <w:r>
        <w:rPr>
          <w:rFonts w:cs="IBM Plex Sans" w:ascii="IBM Plex Sans" w:hAnsi="IBM Plex Sans"/>
          <w:b w:val="false"/>
          <w:bCs w:val="false"/>
          <w:i w:val="false"/>
          <w:iCs w:val="false"/>
          <w:spacing w:val="-18"/>
          <w:sz w:val="22"/>
          <w:szCs w:val="22"/>
          <w:u w:val="none"/>
        </w:rPr>
        <w:t xml:space="preserve"> </w:t>
      </w:r>
      <w:r>
        <w:rPr>
          <w:rFonts w:cs="IBM Plex Sans" w:ascii="IBM Plex Sans" w:hAnsi="IBM Plex Sans"/>
          <w:b w:val="false"/>
          <w:bCs w:val="false"/>
          <w:i w:val="false"/>
          <w:iCs w:val="false"/>
          <w:sz w:val="22"/>
          <w:szCs w:val="22"/>
          <w:u w:val="none"/>
        </w:rPr>
        <w:t>siguientes:</w:t>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pPr>
      <w:r>
        <w:rPr>
          <w:rFonts w:cs="IBM Plex Sans" w:ascii="IBM Plex Sans" w:hAnsi="IBM Plex Sans"/>
          <w:b/>
          <w:bCs/>
          <w:i w:val="false"/>
          <w:iCs w:val="false"/>
          <w:sz w:val="22"/>
          <w:szCs w:val="22"/>
          <w:u w:val="none"/>
        </w:rPr>
        <w:t>6.1. Obras en</w:t>
      </w:r>
      <w:r>
        <w:rPr>
          <w:rFonts w:cs="IBM Plex Sans" w:ascii="IBM Plex Sans" w:hAnsi="IBM Plex Sans"/>
          <w:b/>
          <w:bCs/>
          <w:i w:val="false"/>
          <w:iCs w:val="false"/>
          <w:spacing w:val="-1"/>
          <w:sz w:val="22"/>
          <w:szCs w:val="22"/>
          <w:u w:val="none"/>
        </w:rPr>
        <w:t xml:space="preserve"> </w:t>
      </w:r>
      <w:r>
        <w:rPr>
          <w:rFonts w:cs="IBM Plex Sans" w:ascii="IBM Plex Sans" w:hAnsi="IBM Plex Sans"/>
          <w:b/>
          <w:bCs/>
          <w:i w:val="false"/>
          <w:iCs w:val="false"/>
          <w:sz w:val="22"/>
          <w:szCs w:val="22"/>
          <w:u w:val="none"/>
        </w:rPr>
        <w:t>fachadas.</w:t>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t>- Revoco, enfoscado, pintura, renovación por deterioro, humedades o cualquier otra causa, cambio o sustitución de los materiales de acabado (aplacados, chapados, etc.) por otros de la misma naturaleza, en fachada de inmuebles de más de dos (2) plantas.</w:t>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pPr>
      <w:r>
        <w:rPr>
          <w:rFonts w:cs="IBM Plex Sans" w:ascii="IBM Plex Sans" w:hAnsi="IBM Plex Sans"/>
          <w:b w:val="false"/>
          <w:bCs w:val="false"/>
          <w:i w:val="false"/>
          <w:iCs w:val="false"/>
          <w:sz w:val="22"/>
          <w:szCs w:val="22"/>
          <w:u w:val="none"/>
        </w:rPr>
        <w:t>-Cierre</w:t>
      </w:r>
      <w:r>
        <w:rPr>
          <w:rFonts w:cs="IBM Plex Sans" w:ascii="IBM Plex Sans" w:hAnsi="IBM Plex Sans"/>
          <w:b w:val="false"/>
          <w:bCs w:val="false"/>
          <w:i w:val="false"/>
          <w:iCs w:val="false"/>
          <w:spacing w:val="-11"/>
          <w:sz w:val="22"/>
          <w:szCs w:val="22"/>
          <w:u w:val="none"/>
        </w:rPr>
        <w:t xml:space="preserve"> </w:t>
      </w:r>
      <w:r>
        <w:rPr>
          <w:rFonts w:cs="IBM Plex Sans" w:ascii="IBM Plex Sans" w:hAnsi="IBM Plex Sans"/>
          <w:b w:val="false"/>
          <w:bCs w:val="false"/>
          <w:i w:val="false"/>
          <w:iCs w:val="false"/>
          <w:sz w:val="22"/>
          <w:szCs w:val="22"/>
          <w:u w:val="none"/>
        </w:rPr>
        <w:t>de</w:t>
      </w:r>
      <w:r>
        <w:rPr>
          <w:rFonts w:cs="IBM Plex Sans" w:ascii="IBM Plex Sans" w:hAnsi="IBM Plex Sans"/>
          <w:b w:val="false"/>
          <w:bCs w:val="false"/>
          <w:i w:val="false"/>
          <w:iCs w:val="false"/>
          <w:spacing w:val="-11"/>
          <w:sz w:val="22"/>
          <w:szCs w:val="22"/>
          <w:u w:val="none"/>
        </w:rPr>
        <w:t xml:space="preserve"> </w:t>
      </w:r>
      <w:r>
        <w:rPr>
          <w:rFonts w:cs="IBM Plex Sans" w:ascii="IBM Plex Sans" w:hAnsi="IBM Plex Sans"/>
          <w:b w:val="false"/>
          <w:bCs w:val="false"/>
          <w:i w:val="false"/>
          <w:iCs w:val="false"/>
          <w:sz w:val="22"/>
          <w:szCs w:val="22"/>
          <w:u w:val="none"/>
        </w:rPr>
        <w:t>balcones</w:t>
      </w:r>
      <w:r>
        <w:rPr>
          <w:rFonts w:cs="IBM Plex Sans" w:ascii="IBM Plex Sans" w:hAnsi="IBM Plex Sans"/>
          <w:b w:val="false"/>
          <w:bCs w:val="false"/>
          <w:i w:val="false"/>
          <w:iCs w:val="false"/>
          <w:spacing w:val="-11"/>
          <w:sz w:val="22"/>
          <w:szCs w:val="22"/>
          <w:u w:val="none"/>
        </w:rPr>
        <w:t xml:space="preserve"> </w:t>
      </w:r>
      <w:r>
        <w:rPr>
          <w:rFonts w:cs="IBM Plex Sans" w:ascii="IBM Plex Sans" w:hAnsi="IBM Plex Sans"/>
          <w:b w:val="false"/>
          <w:bCs w:val="false"/>
          <w:i w:val="false"/>
          <w:iCs w:val="false"/>
          <w:sz w:val="22"/>
          <w:szCs w:val="22"/>
          <w:u w:val="none"/>
        </w:rPr>
        <w:t>o</w:t>
      </w:r>
      <w:r>
        <w:rPr>
          <w:rFonts w:cs="IBM Plex Sans" w:ascii="IBM Plex Sans" w:hAnsi="IBM Plex Sans"/>
          <w:b w:val="false"/>
          <w:bCs w:val="false"/>
          <w:i w:val="false"/>
          <w:iCs w:val="false"/>
          <w:spacing w:val="-11"/>
          <w:sz w:val="22"/>
          <w:szCs w:val="22"/>
          <w:u w:val="none"/>
        </w:rPr>
        <w:t xml:space="preserve"> </w:t>
      </w:r>
      <w:r>
        <w:rPr>
          <w:rFonts w:cs="IBM Plex Sans" w:ascii="IBM Plex Sans" w:hAnsi="IBM Plex Sans"/>
          <w:b w:val="false"/>
          <w:bCs w:val="false"/>
          <w:i w:val="false"/>
          <w:iCs w:val="false"/>
          <w:sz w:val="22"/>
          <w:szCs w:val="22"/>
          <w:u w:val="none"/>
        </w:rPr>
        <w:t>terrazas,</w:t>
      </w:r>
      <w:r>
        <w:rPr>
          <w:rFonts w:cs="IBM Plex Sans" w:ascii="IBM Plex Sans" w:hAnsi="IBM Plex Sans"/>
          <w:b w:val="false"/>
          <w:bCs w:val="false"/>
          <w:i w:val="false"/>
          <w:iCs w:val="false"/>
          <w:spacing w:val="-11"/>
          <w:sz w:val="22"/>
          <w:szCs w:val="22"/>
          <w:u w:val="none"/>
        </w:rPr>
        <w:t xml:space="preserve"> </w:t>
      </w:r>
      <w:r>
        <w:rPr>
          <w:rFonts w:cs="IBM Plex Sans" w:ascii="IBM Plex Sans" w:hAnsi="IBM Plex Sans"/>
          <w:b w:val="false"/>
          <w:bCs w:val="false"/>
          <w:i w:val="false"/>
          <w:iCs w:val="false"/>
          <w:sz w:val="22"/>
          <w:szCs w:val="22"/>
          <w:u w:val="none"/>
        </w:rPr>
        <w:t>con</w:t>
      </w:r>
      <w:r>
        <w:rPr>
          <w:rFonts w:cs="IBM Plex Sans" w:ascii="IBM Plex Sans" w:hAnsi="IBM Plex Sans"/>
          <w:b w:val="false"/>
          <w:bCs w:val="false"/>
          <w:i w:val="false"/>
          <w:iCs w:val="false"/>
          <w:spacing w:val="-11"/>
          <w:sz w:val="22"/>
          <w:szCs w:val="22"/>
          <w:u w:val="none"/>
        </w:rPr>
        <w:t xml:space="preserve"> </w:t>
      </w:r>
      <w:r>
        <w:rPr>
          <w:rFonts w:cs="IBM Plex Sans" w:ascii="IBM Plex Sans" w:hAnsi="IBM Plex Sans"/>
          <w:b w:val="false"/>
          <w:bCs w:val="false"/>
          <w:i w:val="false"/>
          <w:iCs w:val="false"/>
          <w:sz w:val="22"/>
          <w:szCs w:val="22"/>
          <w:u w:val="none"/>
        </w:rPr>
        <w:t>materiales</w:t>
      </w:r>
      <w:r>
        <w:rPr>
          <w:rFonts w:cs="IBM Plex Sans" w:ascii="IBM Plex Sans" w:hAnsi="IBM Plex Sans"/>
          <w:b w:val="false"/>
          <w:bCs w:val="false"/>
          <w:i w:val="false"/>
          <w:iCs w:val="false"/>
          <w:spacing w:val="-11"/>
          <w:sz w:val="22"/>
          <w:szCs w:val="22"/>
          <w:u w:val="none"/>
        </w:rPr>
        <w:t xml:space="preserve"> </w:t>
      </w:r>
      <w:r>
        <w:rPr>
          <w:rFonts w:cs="IBM Plex Sans" w:ascii="IBM Plex Sans" w:hAnsi="IBM Plex Sans"/>
          <w:b w:val="false"/>
          <w:bCs w:val="false"/>
          <w:i w:val="false"/>
          <w:iCs w:val="false"/>
          <w:sz w:val="22"/>
          <w:szCs w:val="22"/>
          <w:u w:val="none"/>
        </w:rPr>
        <w:t>desmontables.</w:t>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pPr>
      <w:r>
        <w:rPr>
          <w:rFonts w:cs="IBM Plex Sans" w:ascii="IBM Plex Sans" w:hAnsi="IBM Plex Sans"/>
          <w:b w:val="false"/>
          <w:bCs w:val="false"/>
          <w:i w:val="false"/>
          <w:iCs w:val="false"/>
          <w:sz w:val="22"/>
          <w:szCs w:val="22"/>
          <w:u w:val="none"/>
        </w:rPr>
        <w:t>-Instalaciones de</w:t>
      </w:r>
      <w:r>
        <w:rPr>
          <w:rFonts w:cs="IBM Plex Sans" w:ascii="IBM Plex Sans" w:hAnsi="IBM Plex Sans"/>
          <w:b w:val="false"/>
          <w:bCs w:val="false"/>
          <w:i w:val="false"/>
          <w:iCs w:val="false"/>
          <w:spacing w:val="-43"/>
          <w:sz w:val="22"/>
          <w:szCs w:val="22"/>
          <w:u w:val="none"/>
        </w:rPr>
        <w:t xml:space="preserve"> </w:t>
      </w:r>
      <w:r>
        <w:rPr>
          <w:rFonts w:cs="IBM Plex Sans" w:ascii="IBM Plex Sans" w:hAnsi="IBM Plex Sans"/>
          <w:b w:val="false"/>
          <w:bCs w:val="false"/>
          <w:i w:val="false"/>
          <w:iCs w:val="false"/>
          <w:sz w:val="22"/>
          <w:szCs w:val="22"/>
          <w:u w:val="none"/>
        </w:rPr>
        <w:t>toldos.</w:t>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pPr>
      <w:r>
        <w:rPr>
          <w:rFonts w:cs="IBM Plex Sans" w:ascii="IBM Plex Sans" w:hAnsi="IBM Plex Sans"/>
          <w:b w:val="false"/>
          <w:bCs w:val="false"/>
          <w:i w:val="false"/>
          <w:iCs w:val="false"/>
          <w:sz w:val="22"/>
          <w:szCs w:val="22"/>
          <w:u w:val="none"/>
        </w:rPr>
        <w:t>- Colocación de</w:t>
      </w:r>
      <w:r>
        <w:rPr>
          <w:rFonts w:cs="IBM Plex Sans" w:ascii="IBM Plex Sans" w:hAnsi="IBM Plex Sans"/>
          <w:b w:val="false"/>
          <w:bCs w:val="false"/>
          <w:i w:val="false"/>
          <w:iCs w:val="false"/>
          <w:spacing w:val="-28"/>
          <w:sz w:val="22"/>
          <w:szCs w:val="22"/>
          <w:u w:val="none"/>
        </w:rPr>
        <w:t xml:space="preserve"> </w:t>
      </w:r>
      <w:r>
        <w:rPr>
          <w:rFonts w:cs="IBM Plex Sans" w:ascii="IBM Plex Sans" w:hAnsi="IBM Plex Sans"/>
          <w:b w:val="false"/>
          <w:bCs w:val="false"/>
          <w:i w:val="false"/>
          <w:iCs w:val="false"/>
          <w:sz w:val="22"/>
          <w:szCs w:val="22"/>
          <w:u w:val="none"/>
        </w:rPr>
        <w:t>rótulos.</w:t>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pPr>
      <w:r>
        <w:rPr>
          <w:rFonts w:cs="IBM Plex Sans" w:ascii="IBM Plex Sans" w:hAnsi="IBM Plex Sans"/>
          <w:b/>
          <w:bCs/>
          <w:i w:val="false"/>
          <w:iCs w:val="false"/>
          <w:sz w:val="22"/>
          <w:szCs w:val="22"/>
          <w:u w:val="none"/>
        </w:rPr>
        <w:t>6.2. Obras interiores en</w:t>
      </w:r>
      <w:r>
        <w:rPr>
          <w:rFonts w:cs="IBM Plex Sans" w:ascii="IBM Plex Sans" w:hAnsi="IBM Plex Sans"/>
          <w:b/>
          <w:bCs/>
          <w:i w:val="false"/>
          <w:iCs w:val="false"/>
          <w:spacing w:val="36"/>
          <w:sz w:val="22"/>
          <w:szCs w:val="22"/>
          <w:u w:val="none"/>
        </w:rPr>
        <w:t xml:space="preserve"> </w:t>
      </w:r>
      <w:r>
        <w:rPr>
          <w:rFonts w:cs="IBM Plex Sans" w:ascii="IBM Plex Sans" w:hAnsi="IBM Plex Sans"/>
          <w:b/>
          <w:bCs/>
          <w:i w:val="false"/>
          <w:iCs w:val="false"/>
          <w:sz w:val="22"/>
          <w:szCs w:val="22"/>
          <w:u w:val="none"/>
        </w:rPr>
        <w:t>inmuebles.</w:t>
      </w:r>
    </w:p>
    <w:p>
      <w:pPr>
        <w:pStyle w:val="Normal"/>
        <w:jc w:val="left"/>
        <w:rPr/>
      </w:pPr>
      <w:r>
        <w:rPr>
          <w:rFonts w:cs="IBM Plex Sans" w:ascii="IBM Plex Sans" w:hAnsi="IBM Plex Sans"/>
          <w:b w:val="false"/>
          <w:bCs w:val="false"/>
          <w:i w:val="false"/>
          <w:iCs w:val="false"/>
          <w:sz w:val="22"/>
          <w:szCs w:val="22"/>
          <w:u w:val="none"/>
        </w:rPr>
        <w:t xml:space="preserve">- Cambios de </w:t>
      </w:r>
      <w:r>
        <w:rPr>
          <w:rFonts w:cs="IBM Plex Sans" w:ascii="IBM Plex Sans" w:hAnsi="IBM Plex Sans"/>
          <w:b w:val="false"/>
          <w:bCs w:val="false"/>
          <w:i w:val="false"/>
          <w:iCs w:val="false"/>
          <w:spacing w:val="-3"/>
          <w:sz w:val="22"/>
          <w:szCs w:val="22"/>
          <w:u w:val="none"/>
        </w:rPr>
        <w:t xml:space="preserve">distribución, </w:t>
      </w:r>
      <w:r>
        <w:rPr>
          <w:rFonts w:cs="IBM Plex Sans" w:ascii="IBM Plex Sans" w:hAnsi="IBM Plex Sans"/>
          <w:b w:val="false"/>
          <w:bCs w:val="false"/>
          <w:i w:val="false"/>
          <w:iCs w:val="false"/>
          <w:sz w:val="22"/>
          <w:szCs w:val="22"/>
          <w:u w:val="none"/>
        </w:rPr>
        <w:t xml:space="preserve">unión o separación en inmuebles con tabiquería de cualquier tipo, demolición de tabiques, cierre o apertura de huecos interiores, </w:t>
      </w:r>
      <w:r>
        <w:rPr>
          <w:rFonts w:cs="IBM Plex Sans" w:ascii="IBM Plex Sans" w:hAnsi="IBM Plex Sans"/>
          <w:b w:val="false"/>
          <w:bCs w:val="false"/>
          <w:i w:val="false"/>
          <w:iCs w:val="false"/>
          <w:spacing w:val="-3"/>
          <w:sz w:val="22"/>
          <w:szCs w:val="22"/>
          <w:u w:val="none"/>
        </w:rPr>
        <w:t xml:space="preserve">que </w:t>
      </w:r>
      <w:r>
        <w:rPr>
          <w:rFonts w:cs="IBM Plex Sans" w:ascii="IBM Plex Sans" w:hAnsi="IBM Plex Sans"/>
          <w:b w:val="false"/>
          <w:bCs w:val="false"/>
          <w:i w:val="false"/>
          <w:iCs w:val="false"/>
          <w:spacing w:val="-4"/>
          <w:sz w:val="22"/>
          <w:szCs w:val="22"/>
          <w:u w:val="none"/>
        </w:rPr>
        <w:t xml:space="preserve">no </w:t>
      </w:r>
      <w:r>
        <w:rPr>
          <w:rFonts w:cs="IBM Plex Sans" w:ascii="IBM Plex Sans" w:hAnsi="IBM Plex Sans"/>
          <w:b w:val="false"/>
          <w:bCs w:val="false"/>
          <w:i w:val="false"/>
          <w:iCs w:val="false"/>
          <w:sz w:val="22"/>
          <w:szCs w:val="22"/>
          <w:u w:val="none"/>
        </w:rPr>
        <w:t xml:space="preserve">alteren las condiciones de habitabilidad ni modifiquen las </w:t>
      </w:r>
      <w:r>
        <w:rPr>
          <w:rFonts w:cs="IBM Plex Sans" w:ascii="IBM Plex Sans" w:hAnsi="IBM Plex Sans"/>
          <w:b w:val="false"/>
          <w:bCs w:val="false"/>
          <w:i w:val="false"/>
          <w:iCs w:val="false"/>
          <w:spacing w:val="-4"/>
          <w:sz w:val="22"/>
          <w:szCs w:val="22"/>
          <w:u w:val="none"/>
        </w:rPr>
        <w:t xml:space="preserve">condiciones </w:t>
      </w:r>
      <w:r>
        <w:rPr>
          <w:rFonts w:cs="IBM Plex Sans" w:ascii="IBM Plex Sans" w:hAnsi="IBM Plex Sans"/>
          <w:b w:val="false"/>
          <w:bCs w:val="false"/>
          <w:i w:val="false"/>
          <w:iCs w:val="false"/>
          <w:sz w:val="22"/>
          <w:szCs w:val="22"/>
          <w:u w:val="none"/>
        </w:rPr>
        <w:t xml:space="preserve">de uso y </w:t>
      </w:r>
      <w:r>
        <w:rPr>
          <w:rFonts w:cs="IBM Plex Sans" w:ascii="IBM Plex Sans" w:hAnsi="IBM Plex Sans"/>
          <w:b w:val="false"/>
          <w:bCs w:val="false"/>
          <w:i w:val="false"/>
          <w:iCs w:val="false"/>
          <w:spacing w:val="-3"/>
          <w:sz w:val="22"/>
          <w:szCs w:val="22"/>
          <w:u w:val="none"/>
        </w:rPr>
        <w:t xml:space="preserve">de </w:t>
      </w:r>
      <w:r>
        <w:rPr>
          <w:rFonts w:cs="IBM Plex Sans" w:ascii="IBM Plex Sans" w:hAnsi="IBM Plex Sans"/>
          <w:b w:val="false"/>
          <w:bCs w:val="false"/>
          <w:i w:val="false"/>
          <w:iCs w:val="false"/>
          <w:sz w:val="22"/>
          <w:szCs w:val="22"/>
          <w:u w:val="none"/>
        </w:rPr>
        <w:t>ocupación o</w:t>
      </w:r>
      <w:r>
        <w:rPr>
          <w:rFonts w:cs="IBM Plex Sans" w:ascii="IBM Plex Sans" w:hAnsi="IBM Plex Sans"/>
          <w:b w:val="false"/>
          <w:bCs w:val="false"/>
          <w:i w:val="false"/>
          <w:iCs w:val="false"/>
          <w:spacing w:val="-16"/>
          <w:sz w:val="22"/>
          <w:szCs w:val="22"/>
          <w:u w:val="none"/>
        </w:rPr>
        <w:t xml:space="preserve"> </w:t>
      </w:r>
      <w:r>
        <w:rPr>
          <w:rFonts w:cs="IBM Plex Sans" w:ascii="IBM Plex Sans" w:hAnsi="IBM Plex Sans"/>
          <w:b w:val="false"/>
          <w:bCs w:val="false"/>
          <w:i w:val="false"/>
          <w:iCs w:val="false"/>
          <w:sz w:val="22"/>
          <w:szCs w:val="22"/>
          <w:u w:val="none"/>
        </w:rPr>
        <w:t>aforo.</w:t>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pPr>
      <w:r>
        <w:rPr>
          <w:rFonts w:cs="IBM Plex Sans" w:ascii="IBM Plex Sans" w:hAnsi="IBM Plex Sans"/>
          <w:b w:val="false"/>
          <w:bCs w:val="false"/>
          <w:i w:val="false"/>
          <w:iCs w:val="false"/>
          <w:sz w:val="22"/>
          <w:szCs w:val="22"/>
          <w:u w:val="none"/>
        </w:rPr>
        <w:t xml:space="preserve">- Acondicionamiento de locales comerciales, su reforma interior o construcción de </w:t>
      </w:r>
      <w:r>
        <w:rPr>
          <w:rFonts w:cs="IBM Plex Sans" w:ascii="IBM Plex Sans" w:hAnsi="IBM Plex Sans"/>
          <w:b w:val="false"/>
          <w:bCs w:val="false"/>
          <w:i w:val="false"/>
          <w:iCs w:val="false"/>
          <w:spacing w:val="-3"/>
          <w:sz w:val="22"/>
          <w:szCs w:val="22"/>
          <w:u w:val="none"/>
        </w:rPr>
        <w:t xml:space="preserve">baños </w:t>
      </w:r>
      <w:r>
        <w:rPr>
          <w:rFonts w:cs="IBM Plex Sans" w:ascii="IBM Plex Sans" w:hAnsi="IBM Plex Sans"/>
          <w:b w:val="false"/>
          <w:bCs w:val="false"/>
          <w:i w:val="false"/>
          <w:iCs w:val="false"/>
          <w:sz w:val="22"/>
          <w:szCs w:val="22"/>
          <w:u w:val="none"/>
        </w:rPr>
        <w:t xml:space="preserve">y </w:t>
      </w:r>
      <w:r>
        <w:rPr>
          <w:rFonts w:cs="IBM Plex Sans" w:ascii="IBM Plex Sans" w:hAnsi="IBM Plex Sans"/>
          <w:b w:val="false"/>
          <w:bCs w:val="false"/>
          <w:i w:val="false"/>
          <w:iCs w:val="false"/>
          <w:spacing w:val="-3"/>
          <w:sz w:val="22"/>
          <w:szCs w:val="22"/>
          <w:u w:val="none"/>
        </w:rPr>
        <w:t xml:space="preserve">aseos </w:t>
      </w:r>
      <w:r>
        <w:rPr>
          <w:rFonts w:cs="IBM Plex Sans" w:ascii="IBM Plex Sans" w:hAnsi="IBM Plex Sans"/>
          <w:b w:val="false"/>
          <w:bCs w:val="false"/>
          <w:i w:val="false"/>
          <w:iCs w:val="false"/>
          <w:sz w:val="22"/>
          <w:szCs w:val="22"/>
          <w:u w:val="none"/>
        </w:rPr>
        <w:t>en los</w:t>
      </w:r>
      <w:r>
        <w:rPr>
          <w:rFonts w:cs="IBM Plex Sans" w:ascii="IBM Plex Sans" w:hAnsi="IBM Plex Sans"/>
          <w:b w:val="false"/>
          <w:bCs w:val="false"/>
          <w:i w:val="false"/>
          <w:iCs w:val="false"/>
          <w:spacing w:val="42"/>
          <w:sz w:val="22"/>
          <w:szCs w:val="22"/>
          <w:u w:val="none"/>
        </w:rPr>
        <w:t xml:space="preserve"> </w:t>
      </w:r>
      <w:r>
        <w:rPr>
          <w:rFonts w:cs="IBM Plex Sans" w:ascii="IBM Plex Sans" w:hAnsi="IBM Plex Sans"/>
          <w:b w:val="false"/>
          <w:bCs w:val="false"/>
          <w:i w:val="false"/>
          <w:iCs w:val="false"/>
          <w:spacing w:val="-3"/>
          <w:sz w:val="22"/>
          <w:szCs w:val="22"/>
          <w:u w:val="none"/>
        </w:rPr>
        <w:t>mismos.</w:t>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pPr>
      <w:r>
        <w:rPr>
          <w:rFonts w:cs="IBM Plex Sans" w:ascii="IBM Plex Sans" w:hAnsi="IBM Plex Sans"/>
          <w:b w:val="false"/>
          <w:bCs w:val="false"/>
          <w:i w:val="false"/>
          <w:iCs w:val="false"/>
          <w:sz w:val="22"/>
          <w:szCs w:val="22"/>
          <w:u w:val="none"/>
        </w:rPr>
        <w:t>- Ejecución de entreplantas o altillos con estructura metálica en locales comerciales,</w:t>
      </w:r>
      <w:r>
        <w:rPr>
          <w:rFonts w:cs="IBM Plex Sans" w:ascii="IBM Plex Sans" w:hAnsi="IBM Plex Sans"/>
          <w:b w:val="false"/>
          <w:bCs w:val="false"/>
          <w:i w:val="false"/>
          <w:iCs w:val="false"/>
          <w:spacing w:val="-5"/>
          <w:sz w:val="22"/>
          <w:szCs w:val="22"/>
          <w:u w:val="none"/>
        </w:rPr>
        <w:t xml:space="preserve"> </w:t>
      </w:r>
      <w:r>
        <w:rPr>
          <w:rFonts w:cs="IBM Plex Sans" w:ascii="IBM Plex Sans" w:hAnsi="IBM Plex Sans"/>
          <w:b w:val="false"/>
          <w:bCs w:val="false"/>
          <w:i w:val="false"/>
          <w:iCs w:val="false"/>
          <w:sz w:val="22"/>
          <w:szCs w:val="22"/>
          <w:u w:val="none"/>
        </w:rPr>
        <w:t>siempre</w:t>
      </w:r>
      <w:r>
        <w:rPr>
          <w:rFonts w:cs="IBM Plex Sans" w:ascii="IBM Plex Sans" w:hAnsi="IBM Plex Sans"/>
          <w:b w:val="false"/>
          <w:bCs w:val="false"/>
          <w:i w:val="false"/>
          <w:iCs w:val="false"/>
          <w:spacing w:val="-5"/>
          <w:sz w:val="22"/>
          <w:szCs w:val="22"/>
          <w:u w:val="none"/>
        </w:rPr>
        <w:t xml:space="preserve"> </w:t>
      </w:r>
      <w:r>
        <w:rPr>
          <w:rFonts w:cs="IBM Plex Sans" w:ascii="IBM Plex Sans" w:hAnsi="IBM Plex Sans"/>
          <w:b w:val="false"/>
          <w:bCs w:val="false"/>
          <w:i w:val="false"/>
          <w:iCs w:val="false"/>
          <w:sz w:val="22"/>
          <w:szCs w:val="22"/>
          <w:u w:val="none"/>
        </w:rPr>
        <w:t>que</w:t>
      </w:r>
      <w:r>
        <w:rPr>
          <w:rFonts w:cs="IBM Plex Sans" w:ascii="IBM Plex Sans" w:hAnsi="IBM Plex Sans"/>
          <w:b w:val="false"/>
          <w:bCs w:val="false"/>
          <w:i w:val="false"/>
          <w:iCs w:val="false"/>
          <w:spacing w:val="-5"/>
          <w:sz w:val="22"/>
          <w:szCs w:val="22"/>
          <w:u w:val="none"/>
        </w:rPr>
        <w:t xml:space="preserve"> </w:t>
      </w:r>
      <w:r>
        <w:rPr>
          <w:rFonts w:cs="IBM Plex Sans" w:ascii="IBM Plex Sans" w:hAnsi="IBM Plex Sans"/>
          <w:b w:val="false"/>
          <w:bCs w:val="false"/>
          <w:i w:val="false"/>
          <w:iCs w:val="false"/>
          <w:sz w:val="22"/>
          <w:szCs w:val="22"/>
          <w:u w:val="none"/>
        </w:rPr>
        <w:t>cumplan</w:t>
      </w:r>
      <w:r>
        <w:rPr>
          <w:rFonts w:cs="IBM Plex Sans" w:ascii="IBM Plex Sans" w:hAnsi="IBM Plex Sans"/>
          <w:b w:val="false"/>
          <w:bCs w:val="false"/>
          <w:i w:val="false"/>
          <w:iCs w:val="false"/>
          <w:spacing w:val="-5"/>
          <w:sz w:val="22"/>
          <w:szCs w:val="22"/>
          <w:u w:val="none"/>
        </w:rPr>
        <w:t xml:space="preserve"> </w:t>
      </w:r>
      <w:r>
        <w:rPr>
          <w:rFonts w:cs="IBM Plex Sans" w:ascii="IBM Plex Sans" w:hAnsi="IBM Plex Sans"/>
          <w:b w:val="false"/>
          <w:bCs w:val="false"/>
          <w:i w:val="false"/>
          <w:iCs w:val="false"/>
          <w:sz w:val="22"/>
          <w:szCs w:val="22"/>
          <w:u w:val="none"/>
        </w:rPr>
        <w:t>con</w:t>
      </w:r>
      <w:r>
        <w:rPr>
          <w:rFonts w:cs="IBM Plex Sans" w:ascii="IBM Plex Sans" w:hAnsi="IBM Plex Sans"/>
          <w:b w:val="false"/>
          <w:bCs w:val="false"/>
          <w:i w:val="false"/>
          <w:iCs w:val="false"/>
          <w:spacing w:val="-5"/>
          <w:sz w:val="22"/>
          <w:szCs w:val="22"/>
          <w:u w:val="none"/>
        </w:rPr>
        <w:t xml:space="preserve"> </w:t>
      </w:r>
      <w:r>
        <w:rPr>
          <w:rFonts w:cs="IBM Plex Sans" w:ascii="IBM Plex Sans" w:hAnsi="IBM Plex Sans"/>
          <w:b w:val="false"/>
          <w:bCs w:val="false"/>
          <w:i w:val="false"/>
          <w:iCs w:val="false"/>
          <w:sz w:val="22"/>
          <w:szCs w:val="22"/>
          <w:u w:val="none"/>
        </w:rPr>
        <w:t>el</w:t>
      </w:r>
      <w:r>
        <w:rPr>
          <w:rFonts w:cs="IBM Plex Sans" w:ascii="IBM Plex Sans" w:hAnsi="IBM Plex Sans"/>
          <w:b w:val="false"/>
          <w:bCs w:val="false"/>
          <w:i w:val="false"/>
          <w:iCs w:val="false"/>
          <w:spacing w:val="-5"/>
          <w:sz w:val="22"/>
          <w:szCs w:val="22"/>
          <w:u w:val="none"/>
        </w:rPr>
        <w:t xml:space="preserve"> </w:t>
      </w:r>
      <w:r>
        <w:rPr>
          <w:rFonts w:cs="IBM Plex Sans" w:ascii="IBM Plex Sans" w:hAnsi="IBM Plex Sans"/>
          <w:b w:val="false"/>
          <w:bCs w:val="false"/>
          <w:i w:val="false"/>
          <w:iCs w:val="false"/>
          <w:sz w:val="22"/>
          <w:szCs w:val="22"/>
          <w:u w:val="none"/>
        </w:rPr>
        <w:t>parámetro</w:t>
      </w:r>
      <w:r>
        <w:rPr>
          <w:rFonts w:cs="IBM Plex Sans" w:ascii="IBM Plex Sans" w:hAnsi="IBM Plex Sans"/>
          <w:b w:val="false"/>
          <w:bCs w:val="false"/>
          <w:i w:val="false"/>
          <w:iCs w:val="false"/>
          <w:spacing w:val="-5"/>
          <w:sz w:val="22"/>
          <w:szCs w:val="22"/>
          <w:u w:val="none"/>
        </w:rPr>
        <w:t xml:space="preserve"> </w:t>
      </w:r>
      <w:r>
        <w:rPr>
          <w:rFonts w:cs="IBM Plex Sans" w:ascii="IBM Plex Sans" w:hAnsi="IBM Plex Sans"/>
          <w:b w:val="false"/>
          <w:bCs w:val="false"/>
          <w:i w:val="false"/>
          <w:iCs w:val="false"/>
          <w:sz w:val="22"/>
          <w:szCs w:val="22"/>
          <w:u w:val="none"/>
        </w:rPr>
        <w:t>de</w:t>
      </w:r>
      <w:r>
        <w:rPr>
          <w:rFonts w:cs="IBM Plex Sans" w:ascii="IBM Plex Sans" w:hAnsi="IBM Plex Sans"/>
          <w:b w:val="false"/>
          <w:bCs w:val="false"/>
          <w:i w:val="false"/>
          <w:iCs w:val="false"/>
          <w:spacing w:val="-5"/>
          <w:sz w:val="22"/>
          <w:szCs w:val="22"/>
          <w:u w:val="none"/>
        </w:rPr>
        <w:t xml:space="preserve"> </w:t>
      </w:r>
      <w:r>
        <w:rPr>
          <w:rFonts w:cs="IBM Plex Sans" w:ascii="IBM Plex Sans" w:hAnsi="IBM Plex Sans"/>
          <w:b w:val="false"/>
          <w:bCs w:val="false"/>
          <w:i w:val="false"/>
          <w:iCs w:val="false"/>
          <w:sz w:val="22"/>
          <w:szCs w:val="22"/>
          <w:u w:val="none"/>
        </w:rPr>
        <w:t>la</w:t>
      </w:r>
      <w:r>
        <w:rPr>
          <w:rFonts w:cs="IBM Plex Sans" w:ascii="IBM Plex Sans" w:hAnsi="IBM Plex Sans"/>
          <w:b w:val="false"/>
          <w:bCs w:val="false"/>
          <w:i w:val="false"/>
          <w:iCs w:val="false"/>
          <w:spacing w:val="-5"/>
          <w:sz w:val="22"/>
          <w:szCs w:val="22"/>
          <w:u w:val="none"/>
        </w:rPr>
        <w:t xml:space="preserve"> </w:t>
      </w:r>
      <w:r>
        <w:rPr>
          <w:rFonts w:cs="IBM Plex Sans" w:ascii="IBM Plex Sans" w:hAnsi="IBM Plex Sans"/>
          <w:b w:val="false"/>
          <w:bCs w:val="false"/>
          <w:i w:val="false"/>
          <w:iCs w:val="false"/>
          <w:sz w:val="22"/>
          <w:szCs w:val="22"/>
          <w:u w:val="none"/>
        </w:rPr>
        <w:t>altura</w:t>
      </w:r>
      <w:r>
        <w:rPr>
          <w:rFonts w:cs="IBM Plex Sans" w:ascii="IBM Plex Sans" w:hAnsi="IBM Plex Sans"/>
          <w:b w:val="false"/>
          <w:bCs w:val="false"/>
          <w:i w:val="false"/>
          <w:iCs w:val="false"/>
          <w:spacing w:val="-5"/>
          <w:sz w:val="22"/>
          <w:szCs w:val="22"/>
          <w:u w:val="none"/>
        </w:rPr>
        <w:t xml:space="preserve"> </w:t>
      </w:r>
      <w:r>
        <w:rPr>
          <w:rFonts w:cs="IBM Plex Sans" w:ascii="IBM Plex Sans" w:hAnsi="IBM Plex Sans"/>
          <w:b w:val="false"/>
          <w:bCs w:val="false"/>
          <w:i w:val="false"/>
          <w:iCs w:val="false"/>
          <w:spacing w:val="-2"/>
          <w:sz w:val="22"/>
          <w:szCs w:val="22"/>
          <w:u w:val="none"/>
        </w:rPr>
        <w:t>libre.</w:t>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pPr>
      <w:r>
        <w:rPr>
          <w:rFonts w:cs="IBM Plex Sans" w:ascii="IBM Plex Sans" w:hAnsi="IBM Plex Sans"/>
          <w:b w:val="false"/>
          <w:bCs w:val="false"/>
          <w:i w:val="false"/>
          <w:iCs w:val="false"/>
          <w:sz w:val="22"/>
          <w:szCs w:val="22"/>
          <w:u w:val="none"/>
        </w:rPr>
        <w:t>- Obras en instalaciones o infraestructuras comunes de edificios tales como, sustitución o renovación íntegra de instalaciones de fontanería, saneamiento electricidad, telecomunicaciones,</w:t>
      </w:r>
      <w:r>
        <w:rPr>
          <w:rFonts w:cs="IBM Plex Sans" w:ascii="IBM Plex Sans" w:hAnsi="IBM Plex Sans"/>
          <w:b w:val="false"/>
          <w:bCs w:val="false"/>
          <w:i w:val="false"/>
          <w:iCs w:val="false"/>
          <w:spacing w:val="-42"/>
          <w:sz w:val="22"/>
          <w:szCs w:val="22"/>
          <w:u w:val="none"/>
        </w:rPr>
        <w:t xml:space="preserve"> </w:t>
      </w:r>
      <w:r>
        <w:rPr>
          <w:rFonts w:cs="IBM Plex Sans" w:ascii="IBM Plex Sans" w:hAnsi="IBM Plex Sans"/>
          <w:b w:val="false"/>
          <w:bCs w:val="false"/>
          <w:i w:val="false"/>
          <w:iCs w:val="false"/>
          <w:sz w:val="22"/>
          <w:szCs w:val="22"/>
          <w:u w:val="none"/>
        </w:rPr>
        <w:t>doméstica.</w:t>
      </w:r>
    </w:p>
    <w:p>
      <w:pPr>
        <w:pStyle w:val="Normal"/>
        <w:jc w:val="left"/>
        <w:rPr>
          <w:rFonts w:ascii="IBM Plex Sans" w:hAnsi="IBM Plex Sans" w:cs="IBM Plex Sans"/>
          <w:b w:val="false"/>
          <w:b w:val="false"/>
          <w:bCs w:val="false"/>
          <w:i w:val="false"/>
          <w:i w:val="false"/>
          <w:iCs w:val="false"/>
          <w:spacing w:val="-4"/>
          <w:sz w:val="22"/>
          <w:szCs w:val="22"/>
          <w:u w:val="none"/>
        </w:rPr>
      </w:pPr>
      <w:r>
        <w:rPr>
          <w:rFonts w:cs="IBM Plex Sans" w:ascii="IBM Plex Sans" w:hAnsi="IBM Plex Sans"/>
          <w:b w:val="false"/>
          <w:bCs w:val="false"/>
          <w:i w:val="false"/>
          <w:iCs w:val="false"/>
          <w:spacing w:val="-4"/>
          <w:sz w:val="22"/>
          <w:szCs w:val="22"/>
          <w:u w:val="none"/>
        </w:rPr>
      </w:r>
    </w:p>
    <w:p>
      <w:pPr>
        <w:pStyle w:val="Normal"/>
        <w:jc w:val="left"/>
        <w:rPr/>
      </w:pPr>
      <w:r>
        <w:rPr>
          <w:rFonts w:cs="IBM Plex Sans" w:ascii="IBM Plex Sans" w:hAnsi="IBM Plex Sans"/>
          <w:b w:val="false"/>
          <w:bCs w:val="false"/>
          <w:i w:val="false"/>
          <w:iCs w:val="false"/>
          <w:spacing w:val="-4"/>
          <w:sz w:val="22"/>
          <w:szCs w:val="22"/>
          <w:u w:val="none"/>
        </w:rPr>
        <w:t xml:space="preserve">- Obras </w:t>
      </w:r>
      <w:r>
        <w:rPr>
          <w:rFonts w:cs="IBM Plex Sans" w:ascii="IBM Plex Sans" w:hAnsi="IBM Plex Sans"/>
          <w:b w:val="false"/>
          <w:bCs w:val="false"/>
          <w:i w:val="false"/>
          <w:iCs w:val="false"/>
          <w:sz w:val="22"/>
          <w:szCs w:val="22"/>
          <w:u w:val="none"/>
        </w:rPr>
        <w:t xml:space="preserve">en </w:t>
      </w:r>
      <w:r>
        <w:rPr>
          <w:rFonts w:cs="IBM Plex Sans" w:ascii="IBM Plex Sans" w:hAnsi="IBM Plex Sans"/>
          <w:b w:val="false"/>
          <w:bCs w:val="false"/>
          <w:i w:val="false"/>
          <w:iCs w:val="false"/>
          <w:spacing w:val="-4"/>
          <w:sz w:val="22"/>
          <w:szCs w:val="22"/>
          <w:u w:val="none"/>
        </w:rPr>
        <w:t>zonas</w:t>
      </w:r>
      <w:r>
        <w:rPr>
          <w:rFonts w:cs="IBM Plex Sans" w:ascii="IBM Plex Sans" w:hAnsi="IBM Plex Sans"/>
          <w:b w:val="false"/>
          <w:bCs w:val="false"/>
          <w:i w:val="false"/>
          <w:iCs w:val="false"/>
          <w:spacing w:val="52"/>
          <w:sz w:val="22"/>
          <w:szCs w:val="22"/>
          <w:u w:val="none"/>
        </w:rPr>
        <w:t xml:space="preserve"> </w:t>
      </w:r>
      <w:r>
        <w:rPr>
          <w:rFonts w:cs="IBM Plex Sans" w:ascii="IBM Plex Sans" w:hAnsi="IBM Plex Sans"/>
          <w:b w:val="false"/>
          <w:bCs w:val="false"/>
          <w:i w:val="false"/>
          <w:iCs w:val="false"/>
          <w:sz w:val="22"/>
          <w:szCs w:val="22"/>
          <w:u w:val="none"/>
        </w:rPr>
        <w:t xml:space="preserve">comunes de inmuebles tales como, revocos, enfoscados, pintura, renovación por deterioro, humedades o cualquier otra causa, cambio o sustitución de los materiales de acabado (pavimentos, aplacados,  chapados  etc...), salvo en el caso de las actuaciones en </w:t>
      </w:r>
      <w:r>
        <w:rPr>
          <w:rFonts w:cs="IBM Plex Sans" w:ascii="IBM Plex Sans" w:hAnsi="IBM Plex Sans"/>
          <w:b w:val="false"/>
          <w:bCs w:val="false"/>
          <w:i w:val="false"/>
          <w:iCs w:val="false"/>
          <w:spacing w:val="-7"/>
          <w:sz w:val="22"/>
          <w:szCs w:val="22"/>
          <w:u w:val="none"/>
        </w:rPr>
        <w:t xml:space="preserve">fachadas </w:t>
      </w:r>
      <w:r>
        <w:rPr>
          <w:rFonts w:cs="IBM Plex Sans" w:ascii="IBM Plex Sans" w:hAnsi="IBM Plex Sans"/>
          <w:b w:val="false"/>
          <w:bCs w:val="false"/>
          <w:i w:val="false"/>
          <w:iCs w:val="false"/>
          <w:sz w:val="22"/>
          <w:szCs w:val="22"/>
          <w:u w:val="none"/>
        </w:rPr>
        <w:t>y/o cubiertas previstas en el artículo  3.2.</w:t>
      </w:r>
    </w:p>
    <w:p>
      <w:pPr>
        <w:pStyle w:val="Normal"/>
        <w:jc w:val="left"/>
        <w:rPr>
          <w:rFonts w:ascii="IBM Plex Sans" w:hAnsi="IBM Plex Sans" w:cs="IBM Plex Sans"/>
          <w:b/>
          <w:b/>
          <w:bCs/>
          <w:i w:val="false"/>
          <w:i w:val="false"/>
          <w:iCs w:val="false"/>
          <w:sz w:val="22"/>
          <w:szCs w:val="22"/>
          <w:u w:val="none"/>
        </w:rPr>
      </w:pPr>
      <w:r>
        <w:rPr>
          <w:rFonts w:cs="IBM Plex Sans" w:ascii="IBM Plex Sans" w:hAnsi="IBM Plex Sans"/>
          <w:b/>
          <w:bCs/>
          <w:i w:val="false"/>
          <w:iCs w:val="false"/>
          <w:sz w:val="22"/>
          <w:szCs w:val="22"/>
          <w:u w:val="none"/>
        </w:rPr>
      </w:r>
    </w:p>
    <w:p>
      <w:pPr>
        <w:pStyle w:val="Normal"/>
        <w:jc w:val="left"/>
        <w:rPr/>
      </w:pPr>
      <w:r>
        <w:rPr>
          <w:rFonts w:cs="IBM Plex Sans" w:ascii="IBM Plex Sans" w:hAnsi="IBM Plex Sans"/>
          <w:b/>
          <w:bCs/>
          <w:i w:val="false"/>
          <w:iCs w:val="false"/>
          <w:sz w:val="22"/>
          <w:szCs w:val="22"/>
          <w:u w:val="none"/>
        </w:rPr>
        <w:t>6.3. Obras en</w:t>
      </w:r>
      <w:r>
        <w:rPr>
          <w:rFonts w:cs="IBM Plex Sans" w:ascii="IBM Plex Sans" w:hAnsi="IBM Plex Sans"/>
          <w:b/>
          <w:bCs/>
          <w:i w:val="false"/>
          <w:iCs w:val="false"/>
          <w:spacing w:val="-1"/>
          <w:sz w:val="22"/>
          <w:szCs w:val="22"/>
          <w:u w:val="none"/>
        </w:rPr>
        <w:t xml:space="preserve"> </w:t>
      </w:r>
      <w:r>
        <w:rPr>
          <w:rFonts w:cs="IBM Plex Sans" w:ascii="IBM Plex Sans" w:hAnsi="IBM Plex Sans"/>
          <w:b/>
          <w:bCs/>
          <w:i w:val="false"/>
          <w:iCs w:val="false"/>
          <w:sz w:val="22"/>
          <w:szCs w:val="22"/>
          <w:u w:val="none"/>
        </w:rPr>
        <w:t>cubiertas.</w:t>
      </w:r>
    </w:p>
    <w:p>
      <w:pPr>
        <w:pStyle w:val="Normal"/>
        <w:jc w:val="left"/>
        <w:rPr/>
      </w:pPr>
      <w:r>
        <w:rPr>
          <w:rFonts w:cs="IBM Plex Sans" w:ascii="IBM Plex Sans" w:hAnsi="IBM Plex Sans"/>
          <w:b w:val="false"/>
          <w:bCs w:val="false"/>
          <w:i w:val="false"/>
          <w:iCs w:val="false"/>
          <w:sz w:val="22"/>
          <w:szCs w:val="22"/>
          <w:u w:val="none"/>
        </w:rPr>
        <w:t>- Impermeabilización, sustitución y/o reparación de cubiertas no transitables o inclinadas, sin modificar su tipología o</w:t>
      </w:r>
      <w:r>
        <w:rPr>
          <w:rFonts w:cs="IBM Plex Sans" w:ascii="IBM Plex Sans" w:hAnsi="IBM Plex Sans"/>
          <w:b w:val="false"/>
          <w:bCs w:val="false"/>
          <w:i w:val="false"/>
          <w:iCs w:val="false"/>
          <w:spacing w:val="-34"/>
          <w:sz w:val="22"/>
          <w:szCs w:val="22"/>
          <w:u w:val="none"/>
        </w:rPr>
        <w:t xml:space="preserve"> </w:t>
      </w:r>
      <w:r>
        <w:rPr>
          <w:rFonts w:cs="IBM Plex Sans" w:ascii="IBM Plex Sans" w:hAnsi="IBM Plex Sans"/>
          <w:b w:val="false"/>
          <w:bCs w:val="false"/>
          <w:i w:val="false"/>
          <w:iCs w:val="false"/>
          <w:sz w:val="22"/>
          <w:szCs w:val="22"/>
          <w:u w:val="none"/>
        </w:rPr>
        <w:t>pendientes.</w:t>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pPr>
      <w:r>
        <w:rPr>
          <w:rFonts w:cs="IBM Plex Sans" w:ascii="IBM Plex Sans" w:hAnsi="IBM Plex Sans"/>
          <w:b w:val="false"/>
          <w:bCs w:val="false"/>
          <w:i w:val="false"/>
          <w:iCs w:val="false"/>
          <w:sz w:val="22"/>
          <w:szCs w:val="22"/>
          <w:u w:val="none"/>
        </w:rPr>
        <w:t>- Colocación de lucernarios o claraboyas en cubiertas, siempre que no afecten a patios</w:t>
      </w:r>
      <w:r>
        <w:rPr>
          <w:rFonts w:cs="IBM Plex Sans" w:ascii="IBM Plex Sans" w:hAnsi="IBM Plex Sans"/>
          <w:b w:val="false"/>
          <w:bCs w:val="false"/>
          <w:i w:val="false"/>
          <w:iCs w:val="false"/>
          <w:spacing w:val="-6"/>
          <w:sz w:val="22"/>
          <w:szCs w:val="22"/>
          <w:u w:val="none"/>
        </w:rPr>
        <w:t xml:space="preserve"> </w:t>
      </w:r>
      <w:r>
        <w:rPr>
          <w:rFonts w:cs="IBM Plex Sans" w:ascii="IBM Plex Sans" w:hAnsi="IBM Plex Sans"/>
          <w:b w:val="false"/>
          <w:bCs w:val="false"/>
          <w:i w:val="false"/>
          <w:iCs w:val="false"/>
          <w:sz w:val="22"/>
          <w:szCs w:val="22"/>
          <w:u w:val="none"/>
        </w:rPr>
        <w:t>de</w:t>
      </w:r>
      <w:r>
        <w:rPr>
          <w:rFonts w:cs="IBM Plex Sans" w:ascii="IBM Plex Sans" w:hAnsi="IBM Plex Sans"/>
          <w:b w:val="false"/>
          <w:bCs w:val="false"/>
          <w:i w:val="false"/>
          <w:iCs w:val="false"/>
          <w:spacing w:val="-6"/>
          <w:sz w:val="22"/>
          <w:szCs w:val="22"/>
          <w:u w:val="none"/>
        </w:rPr>
        <w:t xml:space="preserve"> </w:t>
      </w:r>
      <w:r>
        <w:rPr>
          <w:rFonts w:cs="IBM Plex Sans" w:ascii="IBM Plex Sans" w:hAnsi="IBM Plex Sans"/>
          <w:b w:val="false"/>
          <w:bCs w:val="false"/>
          <w:i w:val="false"/>
          <w:iCs w:val="false"/>
          <w:sz w:val="22"/>
          <w:szCs w:val="22"/>
          <w:u w:val="none"/>
        </w:rPr>
        <w:t>ventilación,</w:t>
      </w:r>
      <w:r>
        <w:rPr>
          <w:rFonts w:cs="IBM Plex Sans" w:ascii="IBM Plex Sans" w:hAnsi="IBM Plex Sans"/>
          <w:b w:val="false"/>
          <w:bCs w:val="false"/>
          <w:i w:val="false"/>
          <w:iCs w:val="false"/>
          <w:spacing w:val="-6"/>
          <w:sz w:val="22"/>
          <w:szCs w:val="22"/>
          <w:u w:val="none"/>
        </w:rPr>
        <w:t xml:space="preserve"> </w:t>
      </w:r>
      <w:r>
        <w:rPr>
          <w:rFonts w:cs="IBM Plex Sans" w:ascii="IBM Plex Sans" w:hAnsi="IBM Plex Sans"/>
          <w:b w:val="false"/>
          <w:bCs w:val="false"/>
          <w:i w:val="false"/>
          <w:iCs w:val="false"/>
          <w:sz w:val="22"/>
          <w:szCs w:val="22"/>
          <w:u w:val="none"/>
        </w:rPr>
        <w:t>ni</w:t>
      </w:r>
      <w:r>
        <w:rPr>
          <w:rFonts w:cs="IBM Plex Sans" w:ascii="IBM Plex Sans" w:hAnsi="IBM Plex Sans"/>
          <w:b w:val="false"/>
          <w:bCs w:val="false"/>
          <w:i w:val="false"/>
          <w:iCs w:val="false"/>
          <w:spacing w:val="-6"/>
          <w:sz w:val="22"/>
          <w:szCs w:val="22"/>
          <w:u w:val="none"/>
        </w:rPr>
        <w:t xml:space="preserve"> </w:t>
      </w:r>
      <w:r>
        <w:rPr>
          <w:rFonts w:cs="IBM Plex Sans" w:ascii="IBM Plex Sans" w:hAnsi="IBM Plex Sans"/>
          <w:b w:val="false"/>
          <w:bCs w:val="false"/>
          <w:i w:val="false"/>
          <w:iCs w:val="false"/>
          <w:sz w:val="22"/>
          <w:szCs w:val="22"/>
          <w:u w:val="none"/>
        </w:rPr>
        <w:t>supongan</w:t>
      </w:r>
      <w:r>
        <w:rPr>
          <w:rFonts w:cs="IBM Plex Sans" w:ascii="IBM Plex Sans" w:hAnsi="IBM Plex Sans"/>
          <w:b w:val="false"/>
          <w:bCs w:val="false"/>
          <w:i w:val="false"/>
          <w:iCs w:val="false"/>
          <w:spacing w:val="-6"/>
          <w:sz w:val="22"/>
          <w:szCs w:val="22"/>
          <w:u w:val="none"/>
        </w:rPr>
        <w:t xml:space="preserve"> </w:t>
      </w:r>
      <w:r>
        <w:rPr>
          <w:rFonts w:cs="IBM Plex Sans" w:ascii="IBM Plex Sans" w:hAnsi="IBM Plex Sans"/>
          <w:b w:val="false"/>
          <w:bCs w:val="false"/>
          <w:i w:val="false"/>
          <w:iCs w:val="false"/>
          <w:sz w:val="22"/>
          <w:szCs w:val="22"/>
          <w:u w:val="none"/>
        </w:rPr>
        <w:t>apertura</w:t>
      </w:r>
      <w:r>
        <w:rPr>
          <w:rFonts w:cs="IBM Plex Sans" w:ascii="IBM Plex Sans" w:hAnsi="IBM Plex Sans"/>
          <w:b w:val="false"/>
          <w:bCs w:val="false"/>
          <w:i w:val="false"/>
          <w:iCs w:val="false"/>
          <w:spacing w:val="-6"/>
          <w:sz w:val="22"/>
          <w:szCs w:val="22"/>
          <w:u w:val="none"/>
        </w:rPr>
        <w:t xml:space="preserve"> </w:t>
      </w:r>
      <w:r>
        <w:rPr>
          <w:rFonts w:cs="IBM Plex Sans" w:ascii="IBM Plex Sans" w:hAnsi="IBM Plex Sans"/>
          <w:b w:val="false"/>
          <w:bCs w:val="false"/>
          <w:i w:val="false"/>
          <w:iCs w:val="false"/>
          <w:sz w:val="22"/>
          <w:szCs w:val="22"/>
          <w:u w:val="none"/>
        </w:rPr>
        <w:t>de</w:t>
      </w:r>
      <w:r>
        <w:rPr>
          <w:rFonts w:cs="IBM Plex Sans" w:ascii="IBM Plex Sans" w:hAnsi="IBM Plex Sans"/>
          <w:b w:val="false"/>
          <w:bCs w:val="false"/>
          <w:i w:val="false"/>
          <w:iCs w:val="false"/>
          <w:spacing w:val="-6"/>
          <w:sz w:val="22"/>
          <w:szCs w:val="22"/>
          <w:u w:val="none"/>
        </w:rPr>
        <w:t xml:space="preserve"> </w:t>
      </w:r>
      <w:r>
        <w:rPr>
          <w:rFonts w:cs="IBM Plex Sans" w:ascii="IBM Plex Sans" w:hAnsi="IBM Plex Sans"/>
          <w:b w:val="false"/>
          <w:bCs w:val="false"/>
          <w:i w:val="false"/>
          <w:iCs w:val="false"/>
          <w:sz w:val="22"/>
          <w:szCs w:val="22"/>
          <w:u w:val="none"/>
        </w:rPr>
        <w:t>huecos</w:t>
      </w:r>
      <w:r>
        <w:rPr>
          <w:rFonts w:cs="IBM Plex Sans" w:ascii="IBM Plex Sans" w:hAnsi="IBM Plex Sans"/>
          <w:b w:val="false"/>
          <w:bCs w:val="false"/>
          <w:i w:val="false"/>
          <w:iCs w:val="false"/>
          <w:spacing w:val="-6"/>
          <w:sz w:val="22"/>
          <w:szCs w:val="22"/>
          <w:u w:val="none"/>
        </w:rPr>
        <w:t xml:space="preserve"> </w:t>
      </w:r>
      <w:r>
        <w:rPr>
          <w:rFonts w:cs="IBM Plex Sans" w:ascii="IBM Plex Sans" w:hAnsi="IBM Plex Sans"/>
          <w:b w:val="false"/>
          <w:bCs w:val="false"/>
          <w:i w:val="false"/>
          <w:iCs w:val="false"/>
          <w:sz w:val="22"/>
          <w:szCs w:val="22"/>
          <w:u w:val="none"/>
        </w:rPr>
        <w:t>en</w:t>
      </w:r>
      <w:r>
        <w:rPr>
          <w:rFonts w:cs="IBM Plex Sans" w:ascii="IBM Plex Sans" w:hAnsi="IBM Plex Sans"/>
          <w:b w:val="false"/>
          <w:bCs w:val="false"/>
          <w:i w:val="false"/>
          <w:iCs w:val="false"/>
          <w:spacing w:val="-6"/>
          <w:sz w:val="22"/>
          <w:szCs w:val="22"/>
          <w:u w:val="none"/>
        </w:rPr>
        <w:t xml:space="preserve"> </w:t>
      </w:r>
      <w:r>
        <w:rPr>
          <w:rFonts w:cs="IBM Plex Sans" w:ascii="IBM Plex Sans" w:hAnsi="IBM Plex Sans"/>
          <w:b w:val="false"/>
          <w:bCs w:val="false"/>
          <w:i w:val="false"/>
          <w:iCs w:val="false"/>
          <w:sz w:val="22"/>
          <w:szCs w:val="22"/>
          <w:u w:val="none"/>
        </w:rPr>
        <w:t>forjados.</w:t>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pPr>
      <w:r>
        <w:rPr>
          <w:rFonts w:cs="IBM Plex Sans" w:ascii="IBM Plex Sans" w:hAnsi="IBM Plex Sans"/>
          <w:b w:val="false"/>
          <w:bCs w:val="false"/>
          <w:i w:val="false"/>
          <w:iCs w:val="false"/>
          <w:sz w:val="22"/>
          <w:szCs w:val="22"/>
          <w:u w:val="none"/>
        </w:rPr>
        <w:t xml:space="preserve">- Instalación de depósitos de agua prefabricados y camuflados con celosías de </w:t>
      </w:r>
      <w:r>
        <w:rPr>
          <w:rFonts w:cs="IBM Plex Sans" w:ascii="IBM Plex Sans" w:hAnsi="IBM Plex Sans"/>
          <w:b w:val="false"/>
          <w:bCs w:val="false"/>
          <w:i w:val="false"/>
          <w:iCs w:val="false"/>
          <w:spacing w:val="-4"/>
          <w:sz w:val="22"/>
          <w:szCs w:val="22"/>
          <w:u w:val="none"/>
        </w:rPr>
        <w:t>hormigón.</w:t>
      </w:r>
    </w:p>
    <w:p>
      <w:pPr>
        <w:pStyle w:val="Normal"/>
        <w:jc w:val="left"/>
        <w:rPr>
          <w:rFonts w:ascii="IBM Plex Sans" w:hAnsi="IBM Plex Sans" w:cs="IBM Plex Sans"/>
          <w:b w:val="false"/>
          <w:b w:val="false"/>
          <w:bCs w:val="false"/>
          <w:i w:val="false"/>
          <w:i w:val="false"/>
          <w:iCs w:val="false"/>
          <w:spacing w:val="-3"/>
          <w:sz w:val="22"/>
          <w:szCs w:val="22"/>
          <w:u w:val="none"/>
        </w:rPr>
      </w:pPr>
      <w:r>
        <w:rPr>
          <w:rFonts w:cs="IBM Plex Sans" w:ascii="IBM Plex Sans" w:hAnsi="IBM Plex Sans"/>
          <w:b w:val="false"/>
          <w:bCs w:val="false"/>
          <w:i w:val="false"/>
          <w:iCs w:val="false"/>
          <w:spacing w:val="-3"/>
          <w:sz w:val="22"/>
          <w:szCs w:val="22"/>
          <w:u w:val="none"/>
        </w:rPr>
      </w:r>
    </w:p>
    <w:p>
      <w:pPr>
        <w:pStyle w:val="Normal"/>
        <w:jc w:val="left"/>
        <w:rPr/>
      </w:pPr>
      <w:r>
        <w:rPr>
          <w:rFonts w:cs="IBM Plex Sans" w:ascii="IBM Plex Sans" w:hAnsi="IBM Plex Sans"/>
          <w:b w:val="false"/>
          <w:bCs w:val="false"/>
          <w:i w:val="false"/>
          <w:iCs w:val="false"/>
          <w:spacing w:val="-3"/>
          <w:sz w:val="22"/>
          <w:szCs w:val="22"/>
          <w:u w:val="none"/>
        </w:rPr>
        <w:t xml:space="preserve">- Construcción </w:t>
      </w:r>
      <w:r>
        <w:rPr>
          <w:rFonts w:cs="IBM Plex Sans" w:ascii="IBM Plex Sans" w:hAnsi="IBM Plex Sans"/>
          <w:b w:val="false"/>
          <w:bCs w:val="false"/>
          <w:i w:val="false"/>
          <w:iCs w:val="false"/>
          <w:sz w:val="22"/>
          <w:szCs w:val="22"/>
          <w:u w:val="none"/>
        </w:rPr>
        <w:t xml:space="preserve">de </w:t>
      </w:r>
      <w:r>
        <w:rPr>
          <w:rFonts w:cs="IBM Plex Sans" w:ascii="IBM Plex Sans" w:hAnsi="IBM Plex Sans"/>
          <w:b w:val="false"/>
          <w:bCs w:val="false"/>
          <w:i w:val="false"/>
          <w:iCs w:val="false"/>
          <w:spacing w:val="-3"/>
          <w:sz w:val="22"/>
          <w:szCs w:val="22"/>
          <w:u w:val="none"/>
        </w:rPr>
        <w:t xml:space="preserve">cuartos trasteros </w:t>
      </w:r>
      <w:r>
        <w:rPr>
          <w:rFonts w:cs="IBM Plex Sans" w:ascii="IBM Plex Sans" w:hAnsi="IBM Plex Sans"/>
          <w:b w:val="false"/>
          <w:bCs w:val="false"/>
          <w:i w:val="false"/>
          <w:iCs w:val="false"/>
          <w:sz w:val="22"/>
          <w:szCs w:val="22"/>
          <w:u w:val="none"/>
        </w:rPr>
        <w:t xml:space="preserve">o </w:t>
      </w:r>
      <w:r>
        <w:rPr>
          <w:rFonts w:cs="IBM Plex Sans" w:ascii="IBM Plex Sans" w:hAnsi="IBM Plex Sans"/>
          <w:b w:val="false"/>
          <w:bCs w:val="false"/>
          <w:i w:val="false"/>
          <w:iCs w:val="false"/>
          <w:spacing w:val="-3"/>
          <w:sz w:val="22"/>
          <w:szCs w:val="22"/>
          <w:u w:val="none"/>
        </w:rPr>
        <w:t xml:space="preserve">lavaderos, siempre </w:t>
      </w:r>
      <w:r>
        <w:rPr>
          <w:rFonts w:cs="IBM Plex Sans" w:ascii="IBM Plex Sans" w:hAnsi="IBM Plex Sans"/>
          <w:b w:val="false"/>
          <w:bCs w:val="false"/>
          <w:i w:val="false"/>
          <w:iCs w:val="false"/>
          <w:sz w:val="22"/>
          <w:szCs w:val="22"/>
          <w:u w:val="none"/>
        </w:rPr>
        <w:t xml:space="preserve">que lo </w:t>
      </w:r>
      <w:r>
        <w:rPr>
          <w:rFonts w:cs="IBM Plex Sans" w:ascii="IBM Plex Sans" w:hAnsi="IBM Plex Sans"/>
          <w:b w:val="false"/>
          <w:bCs w:val="false"/>
          <w:i w:val="false"/>
          <w:iCs w:val="false"/>
          <w:spacing w:val="-3"/>
          <w:sz w:val="22"/>
          <w:szCs w:val="22"/>
          <w:u w:val="none"/>
        </w:rPr>
        <w:t xml:space="preserve">permita la </w:t>
      </w:r>
      <w:r>
        <w:rPr>
          <w:rFonts w:cs="IBM Plex Sans" w:ascii="IBM Plex Sans" w:hAnsi="IBM Plex Sans"/>
          <w:b w:val="false"/>
          <w:bCs w:val="false"/>
          <w:i w:val="false"/>
          <w:iCs w:val="false"/>
          <w:sz w:val="22"/>
          <w:szCs w:val="22"/>
          <w:u w:val="none"/>
        </w:rPr>
        <w:t>normativa.</w:t>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pPr>
      <w:r>
        <w:rPr>
          <w:rFonts w:cs="IBM Plex Sans" w:ascii="IBM Plex Sans" w:hAnsi="IBM Plex Sans"/>
          <w:b w:val="false"/>
          <w:bCs w:val="false"/>
          <w:i w:val="false"/>
          <w:iCs w:val="false"/>
          <w:sz w:val="22"/>
          <w:szCs w:val="22"/>
          <w:u w:val="none"/>
        </w:rPr>
        <w:t>- Colocación de placas solares integradas en cubierta inclinada o tras los antepechos de cubierta</w:t>
      </w:r>
      <w:r>
        <w:rPr>
          <w:rFonts w:cs="IBM Plex Sans" w:ascii="IBM Plex Sans" w:hAnsi="IBM Plex Sans"/>
          <w:b w:val="false"/>
          <w:bCs w:val="false"/>
          <w:i w:val="false"/>
          <w:iCs w:val="false"/>
          <w:spacing w:val="-26"/>
          <w:sz w:val="22"/>
          <w:szCs w:val="22"/>
          <w:u w:val="none"/>
        </w:rPr>
        <w:t xml:space="preserve"> </w:t>
      </w:r>
      <w:r>
        <w:rPr>
          <w:rFonts w:cs="IBM Plex Sans" w:ascii="IBM Plex Sans" w:hAnsi="IBM Plex Sans"/>
          <w:b w:val="false"/>
          <w:bCs w:val="false"/>
          <w:i w:val="false"/>
          <w:iCs w:val="false"/>
          <w:sz w:val="22"/>
          <w:szCs w:val="22"/>
          <w:u w:val="none"/>
        </w:rPr>
        <w:t>plana.</w:t>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pPr>
      <w:r>
        <w:rPr>
          <w:rFonts w:cs="IBM Plex Sans" w:ascii="IBM Plex Sans" w:hAnsi="IBM Plex Sans"/>
          <w:b/>
          <w:bCs/>
          <w:i w:val="false"/>
          <w:iCs w:val="false"/>
          <w:sz w:val="22"/>
          <w:szCs w:val="22"/>
          <w:u w:val="none"/>
        </w:rPr>
        <w:t>6.4. Obras en el dominio</w:t>
      </w:r>
      <w:r>
        <w:rPr>
          <w:rFonts w:cs="IBM Plex Sans" w:ascii="IBM Plex Sans" w:hAnsi="IBM Plex Sans"/>
          <w:b/>
          <w:bCs/>
          <w:i w:val="false"/>
          <w:iCs w:val="false"/>
          <w:spacing w:val="-36"/>
          <w:sz w:val="22"/>
          <w:szCs w:val="22"/>
          <w:u w:val="none"/>
        </w:rPr>
        <w:t xml:space="preserve"> </w:t>
      </w:r>
      <w:r>
        <w:rPr>
          <w:rFonts w:cs="IBM Plex Sans" w:ascii="IBM Plex Sans" w:hAnsi="IBM Plex Sans"/>
          <w:b/>
          <w:bCs/>
          <w:i w:val="false"/>
          <w:iCs w:val="false"/>
          <w:sz w:val="22"/>
          <w:szCs w:val="22"/>
          <w:u w:val="none"/>
        </w:rPr>
        <w:t>público.</w:t>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t>- Acondicionamiento de aceras, bordillos y soleras; depresión para vados.</w:t>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t>- Conexión a la red general de alcantarillado.</w:t>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pPr>
      <w:r>
        <w:rPr>
          <w:rFonts w:cs="IBM Plex Sans" w:ascii="IBM Plex Sans" w:hAnsi="IBM Plex Sans"/>
          <w:b w:val="false"/>
          <w:bCs w:val="false"/>
          <w:i w:val="false"/>
          <w:iCs w:val="false"/>
          <w:sz w:val="22"/>
          <w:szCs w:val="22"/>
          <w:u w:val="none"/>
        </w:rPr>
        <w:t>- Colocación</w:t>
      </w:r>
      <w:r>
        <w:rPr>
          <w:rFonts w:cs="IBM Plex Sans" w:ascii="IBM Plex Sans" w:hAnsi="IBM Plex Sans"/>
          <w:b w:val="false"/>
          <w:bCs w:val="false"/>
          <w:i w:val="false"/>
          <w:iCs w:val="false"/>
          <w:spacing w:val="-11"/>
          <w:sz w:val="22"/>
          <w:szCs w:val="22"/>
          <w:u w:val="none"/>
        </w:rPr>
        <w:t xml:space="preserve"> </w:t>
      </w:r>
      <w:r>
        <w:rPr>
          <w:rFonts w:cs="IBM Plex Sans" w:ascii="IBM Plex Sans" w:hAnsi="IBM Plex Sans"/>
          <w:b w:val="false"/>
          <w:bCs w:val="false"/>
          <w:i w:val="false"/>
          <w:iCs w:val="false"/>
          <w:sz w:val="22"/>
          <w:szCs w:val="22"/>
          <w:u w:val="none"/>
        </w:rPr>
        <w:t>de</w:t>
      </w:r>
      <w:r>
        <w:rPr>
          <w:rFonts w:cs="IBM Plex Sans" w:ascii="IBM Plex Sans" w:hAnsi="IBM Plex Sans"/>
          <w:b w:val="false"/>
          <w:bCs w:val="false"/>
          <w:i w:val="false"/>
          <w:iCs w:val="false"/>
          <w:spacing w:val="-11"/>
          <w:sz w:val="22"/>
          <w:szCs w:val="22"/>
          <w:u w:val="none"/>
        </w:rPr>
        <w:t xml:space="preserve"> </w:t>
      </w:r>
      <w:r>
        <w:rPr>
          <w:rFonts w:cs="IBM Plex Sans" w:ascii="IBM Plex Sans" w:hAnsi="IBM Plex Sans"/>
          <w:b w:val="false"/>
          <w:bCs w:val="false"/>
          <w:i w:val="false"/>
          <w:iCs w:val="false"/>
          <w:sz w:val="22"/>
          <w:szCs w:val="22"/>
          <w:u w:val="none"/>
        </w:rPr>
        <w:t>bolardos</w:t>
      </w:r>
      <w:r>
        <w:rPr>
          <w:rFonts w:cs="IBM Plex Sans" w:ascii="IBM Plex Sans" w:hAnsi="IBM Plex Sans"/>
          <w:b w:val="false"/>
          <w:bCs w:val="false"/>
          <w:i w:val="false"/>
          <w:iCs w:val="false"/>
          <w:spacing w:val="-11"/>
          <w:sz w:val="22"/>
          <w:szCs w:val="22"/>
          <w:u w:val="none"/>
        </w:rPr>
        <w:t xml:space="preserve"> </w:t>
      </w:r>
      <w:r>
        <w:rPr>
          <w:rFonts w:cs="IBM Plex Sans" w:ascii="IBM Plex Sans" w:hAnsi="IBM Plex Sans"/>
          <w:b w:val="false"/>
          <w:bCs w:val="false"/>
          <w:i w:val="false"/>
          <w:iCs w:val="false"/>
          <w:sz w:val="22"/>
          <w:szCs w:val="22"/>
          <w:u w:val="none"/>
        </w:rPr>
        <w:t>o</w:t>
      </w:r>
      <w:r>
        <w:rPr>
          <w:rFonts w:cs="IBM Plex Sans" w:ascii="IBM Plex Sans" w:hAnsi="IBM Plex Sans"/>
          <w:b w:val="false"/>
          <w:bCs w:val="false"/>
          <w:i w:val="false"/>
          <w:iCs w:val="false"/>
          <w:spacing w:val="-11"/>
          <w:sz w:val="22"/>
          <w:szCs w:val="22"/>
          <w:u w:val="none"/>
        </w:rPr>
        <w:t xml:space="preserve"> </w:t>
      </w:r>
      <w:r>
        <w:rPr>
          <w:rFonts w:cs="IBM Plex Sans" w:ascii="IBM Plex Sans" w:hAnsi="IBM Plex Sans"/>
          <w:b w:val="false"/>
          <w:bCs w:val="false"/>
          <w:i w:val="false"/>
          <w:iCs w:val="false"/>
          <w:sz w:val="22"/>
          <w:szCs w:val="22"/>
          <w:u w:val="none"/>
        </w:rPr>
        <w:t>protecciones</w:t>
      </w:r>
      <w:r>
        <w:rPr>
          <w:rFonts w:cs="IBM Plex Sans" w:ascii="IBM Plex Sans" w:hAnsi="IBM Plex Sans"/>
          <w:b w:val="false"/>
          <w:bCs w:val="false"/>
          <w:i w:val="false"/>
          <w:iCs w:val="false"/>
          <w:spacing w:val="-11"/>
          <w:sz w:val="22"/>
          <w:szCs w:val="22"/>
          <w:u w:val="none"/>
        </w:rPr>
        <w:t xml:space="preserve"> </w:t>
      </w:r>
      <w:r>
        <w:rPr>
          <w:rFonts w:cs="IBM Plex Sans" w:ascii="IBM Plex Sans" w:hAnsi="IBM Plex Sans"/>
          <w:b w:val="false"/>
          <w:bCs w:val="false"/>
          <w:i w:val="false"/>
          <w:iCs w:val="false"/>
          <w:sz w:val="22"/>
          <w:szCs w:val="22"/>
          <w:u w:val="none"/>
        </w:rPr>
        <w:t>en</w:t>
      </w:r>
      <w:r>
        <w:rPr>
          <w:rFonts w:cs="IBM Plex Sans" w:ascii="IBM Plex Sans" w:hAnsi="IBM Plex Sans"/>
          <w:b w:val="false"/>
          <w:bCs w:val="false"/>
          <w:i w:val="false"/>
          <w:iCs w:val="false"/>
          <w:spacing w:val="-11"/>
          <w:sz w:val="22"/>
          <w:szCs w:val="22"/>
          <w:u w:val="none"/>
        </w:rPr>
        <w:t xml:space="preserve"> </w:t>
      </w:r>
      <w:r>
        <w:rPr>
          <w:rFonts w:cs="IBM Plex Sans" w:ascii="IBM Plex Sans" w:hAnsi="IBM Plex Sans"/>
          <w:b w:val="false"/>
          <w:bCs w:val="false"/>
          <w:i w:val="false"/>
          <w:iCs w:val="false"/>
          <w:sz w:val="22"/>
          <w:szCs w:val="22"/>
          <w:u w:val="none"/>
        </w:rPr>
        <w:t>aceras.</w:t>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t>- Reparaciones, ampliación o mejora de las infraestructuras eléctricas o de telecomunicaciones.</w:t>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pPr>
      <w:r>
        <w:rPr>
          <w:rFonts w:cs="IBM Plex Sans" w:ascii="IBM Plex Sans" w:hAnsi="IBM Plex Sans"/>
          <w:b/>
          <w:bCs/>
          <w:i w:val="false"/>
          <w:iCs w:val="false"/>
          <w:sz w:val="22"/>
          <w:szCs w:val="22"/>
          <w:u w:val="none"/>
        </w:rPr>
        <w:t>6.5. Otros tipos de obras en suelo</w:t>
      </w:r>
      <w:r>
        <w:rPr>
          <w:rFonts w:cs="IBM Plex Sans" w:ascii="IBM Plex Sans" w:hAnsi="IBM Plex Sans"/>
          <w:b/>
          <w:bCs/>
          <w:i w:val="false"/>
          <w:iCs w:val="false"/>
          <w:spacing w:val="-30"/>
          <w:sz w:val="22"/>
          <w:szCs w:val="22"/>
          <w:u w:val="none"/>
        </w:rPr>
        <w:t xml:space="preserve"> </w:t>
      </w:r>
      <w:r>
        <w:rPr>
          <w:rFonts w:cs="IBM Plex Sans" w:ascii="IBM Plex Sans" w:hAnsi="IBM Plex Sans"/>
          <w:b/>
          <w:bCs/>
          <w:i w:val="false"/>
          <w:iCs w:val="false"/>
          <w:sz w:val="22"/>
          <w:szCs w:val="22"/>
          <w:u w:val="none"/>
        </w:rPr>
        <w:t>urbano.</w:t>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t>- Rellenos de terreno en suelo urbano.</w:t>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t>- Anuncios comerciales y publicitarios.</w:t>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pPr>
      <w:r>
        <w:rPr>
          <w:rFonts w:cs="IBM Plex Sans" w:ascii="IBM Plex Sans" w:hAnsi="IBM Plex Sans"/>
          <w:b w:val="false"/>
          <w:bCs w:val="false"/>
          <w:i w:val="false"/>
          <w:iCs w:val="false"/>
          <w:sz w:val="22"/>
          <w:szCs w:val="22"/>
          <w:u w:val="none"/>
        </w:rPr>
        <w:t>- Instalación de</w:t>
      </w:r>
      <w:r>
        <w:rPr>
          <w:rFonts w:cs="IBM Plex Sans" w:ascii="IBM Plex Sans" w:hAnsi="IBM Plex Sans"/>
          <w:b w:val="false"/>
          <w:bCs w:val="false"/>
          <w:i w:val="false"/>
          <w:iCs w:val="false"/>
          <w:spacing w:val="-42"/>
          <w:sz w:val="22"/>
          <w:szCs w:val="22"/>
          <w:u w:val="none"/>
        </w:rPr>
        <w:t xml:space="preserve"> </w:t>
      </w:r>
      <w:r>
        <w:rPr>
          <w:rFonts w:cs="IBM Plex Sans" w:ascii="IBM Plex Sans" w:hAnsi="IBM Plex Sans"/>
          <w:b w:val="false"/>
          <w:bCs w:val="false"/>
          <w:i w:val="false"/>
          <w:iCs w:val="false"/>
          <w:sz w:val="22"/>
          <w:szCs w:val="22"/>
          <w:u w:val="none"/>
        </w:rPr>
        <w:t>pérgolas.</w:t>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pPr>
      <w:r>
        <w:rPr>
          <w:rFonts w:cs="IBM Plex Sans" w:ascii="IBM Plex Sans" w:hAnsi="IBM Plex Sans"/>
          <w:b w:val="false"/>
          <w:bCs w:val="false"/>
          <w:i w:val="false"/>
          <w:iCs w:val="false"/>
          <w:sz w:val="22"/>
          <w:szCs w:val="22"/>
          <w:u w:val="none"/>
        </w:rPr>
        <w:t xml:space="preserve">- Ejecución de vallados de muros de cerramiento que hayan de cercarse en la alineación oficial y/o vallados de las parcelas edificadas con retranqueo o separación </w:t>
      </w:r>
      <w:r>
        <w:rPr>
          <w:rFonts w:cs="IBM Plex Sans" w:ascii="IBM Plex Sans" w:hAnsi="IBM Plex Sans"/>
          <w:b w:val="false"/>
          <w:bCs w:val="false"/>
          <w:i w:val="false"/>
          <w:iCs w:val="false"/>
          <w:spacing w:val="-3"/>
          <w:sz w:val="22"/>
          <w:szCs w:val="22"/>
          <w:u w:val="none"/>
        </w:rPr>
        <w:t xml:space="preserve">respecto </w:t>
      </w:r>
      <w:r>
        <w:rPr>
          <w:rFonts w:cs="IBM Plex Sans" w:ascii="IBM Plex Sans" w:hAnsi="IBM Plex Sans"/>
          <w:b w:val="false"/>
          <w:bCs w:val="false"/>
          <w:i w:val="false"/>
          <w:iCs w:val="false"/>
          <w:sz w:val="22"/>
          <w:szCs w:val="22"/>
          <w:u w:val="none"/>
        </w:rPr>
        <w:t>a la vía pública, hasta la máxima permitida por la Ordenanza, esto es, con altura de fábrica de bloques enfoscados y pintados con una altura máxima de 1,50 metros, que aseguren su estabilidad y conservación en buen estado, y aumentar hasta los 2,50 metros, mediante materiales permeables a la vista, como reja, celosía, vegetación, etc, quedando prohibido el remate de estos cerramientos con elementos potencialmente peligrosos que puedan causas lesiones a personas o animales, tales como vidrio, espinos filos y</w:t>
      </w:r>
      <w:r>
        <w:rPr>
          <w:rFonts w:cs="IBM Plex Sans" w:ascii="IBM Plex Sans" w:hAnsi="IBM Plex Sans"/>
          <w:b w:val="false"/>
          <w:bCs w:val="false"/>
          <w:i w:val="false"/>
          <w:iCs w:val="false"/>
          <w:spacing w:val="-18"/>
          <w:sz w:val="22"/>
          <w:szCs w:val="22"/>
          <w:u w:val="none"/>
        </w:rPr>
        <w:t xml:space="preserve"> </w:t>
      </w:r>
      <w:r>
        <w:rPr>
          <w:rFonts w:cs="IBM Plex Sans" w:ascii="IBM Plex Sans" w:hAnsi="IBM Plex Sans"/>
          <w:b w:val="false"/>
          <w:bCs w:val="false"/>
          <w:i w:val="false"/>
          <w:iCs w:val="false"/>
          <w:sz w:val="22"/>
          <w:szCs w:val="22"/>
          <w:u w:val="none"/>
        </w:rPr>
        <w:t>puntas.</w:t>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pPr>
      <w:r>
        <w:rPr>
          <w:rFonts w:cs="IBM Plex Sans" w:ascii="IBM Plex Sans" w:hAnsi="IBM Plex Sans"/>
          <w:b/>
          <w:bCs/>
          <w:i w:val="false"/>
          <w:iCs w:val="false"/>
          <w:sz w:val="22"/>
          <w:szCs w:val="22"/>
          <w:u w:val="none"/>
        </w:rPr>
        <w:t>6.6. Obras en Suelo Rústico por el procedimiento</w:t>
      </w:r>
      <w:r>
        <w:rPr>
          <w:rFonts w:cs="IBM Plex Sans" w:ascii="IBM Plex Sans" w:hAnsi="IBM Plex Sans"/>
          <w:b/>
          <w:bCs/>
          <w:i w:val="false"/>
          <w:iCs w:val="false"/>
          <w:spacing w:val="-34"/>
          <w:sz w:val="22"/>
          <w:szCs w:val="22"/>
          <w:u w:val="none"/>
        </w:rPr>
        <w:t xml:space="preserve"> </w:t>
      </w:r>
      <w:r>
        <w:rPr>
          <w:rFonts w:cs="IBM Plex Sans" w:ascii="IBM Plex Sans" w:hAnsi="IBM Plex Sans"/>
          <w:b/>
          <w:bCs/>
          <w:i w:val="false"/>
          <w:iCs w:val="false"/>
          <w:sz w:val="22"/>
          <w:szCs w:val="22"/>
          <w:u w:val="none"/>
        </w:rPr>
        <w:t>ordinario.</w:t>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t>Siempre que la categoría del suelo lo permita, (podrán ejecutarse las siguientes actuaciones sin perjuicio de la previa Calificación Territorial, en su caso:</w:t>
      </w:r>
    </w:p>
    <w:p>
      <w:pPr>
        <w:pStyle w:val="Normal"/>
        <w:jc w:val="left"/>
        <w:rPr/>
      </w:pPr>
      <w:r>
        <w:rPr>
          <w:rFonts w:cs="IBM Plex Sans" w:ascii="IBM Plex Sans" w:hAnsi="IBM Plex Sans"/>
          <w:b w:val="false"/>
          <w:bCs w:val="false"/>
          <w:i w:val="false"/>
          <w:iCs w:val="false"/>
          <w:sz w:val="22"/>
          <w:szCs w:val="22"/>
          <w:u w:val="none"/>
        </w:rPr>
        <w:t xml:space="preserve">- Tareas de restauración de </w:t>
      </w:r>
      <w:r>
        <w:rPr>
          <w:rFonts w:cs="IBM Plex Sans" w:ascii="IBM Plex Sans" w:hAnsi="IBM Plex Sans"/>
          <w:b w:val="false"/>
          <w:bCs w:val="false"/>
          <w:i w:val="false"/>
          <w:iCs w:val="false"/>
          <w:spacing w:val="-4"/>
          <w:sz w:val="22"/>
          <w:szCs w:val="22"/>
          <w:u w:val="none"/>
        </w:rPr>
        <w:t xml:space="preserve">instalaciones </w:t>
      </w:r>
      <w:r>
        <w:rPr>
          <w:rFonts w:cs="IBM Plex Sans" w:ascii="IBM Plex Sans" w:hAnsi="IBM Plex Sans"/>
          <w:b w:val="false"/>
          <w:bCs w:val="false"/>
          <w:i w:val="false"/>
          <w:iCs w:val="false"/>
          <w:sz w:val="22"/>
          <w:szCs w:val="22"/>
          <w:u w:val="none"/>
        </w:rPr>
        <w:t>agrícolas y agropecuarias</w:t>
      </w:r>
      <w:r>
        <w:rPr>
          <w:rFonts w:cs="IBM Plex Sans" w:ascii="IBM Plex Sans" w:hAnsi="IBM Plex Sans"/>
          <w:b w:val="false"/>
          <w:bCs w:val="false"/>
          <w:i w:val="false"/>
          <w:iCs w:val="false"/>
          <w:spacing w:val="-12"/>
          <w:sz w:val="22"/>
          <w:szCs w:val="22"/>
          <w:u w:val="none"/>
        </w:rPr>
        <w:t xml:space="preserve"> </w:t>
      </w:r>
      <w:r>
        <w:rPr>
          <w:rFonts w:cs="IBM Plex Sans" w:ascii="IBM Plex Sans" w:hAnsi="IBM Plex Sans"/>
          <w:b w:val="false"/>
          <w:bCs w:val="false"/>
          <w:i w:val="false"/>
          <w:iCs w:val="false"/>
          <w:sz w:val="22"/>
          <w:szCs w:val="22"/>
          <w:u w:val="none"/>
        </w:rPr>
        <w:t>existentes.</w:t>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pPr>
      <w:r>
        <w:rPr>
          <w:rFonts w:cs="IBM Plex Sans" w:ascii="IBM Plex Sans" w:hAnsi="IBM Plex Sans"/>
          <w:b w:val="false"/>
          <w:bCs w:val="false"/>
          <w:i w:val="false"/>
          <w:iCs w:val="false"/>
          <w:sz w:val="22"/>
          <w:szCs w:val="22"/>
          <w:u w:val="none"/>
        </w:rPr>
        <w:t>- Limpieza de los terrenos e</w:t>
      </w:r>
      <w:r>
        <w:rPr>
          <w:rFonts w:cs="IBM Plex Sans" w:ascii="IBM Plex Sans" w:hAnsi="IBM Plex Sans"/>
          <w:b w:val="false"/>
          <w:bCs w:val="false"/>
          <w:i w:val="false"/>
          <w:iCs w:val="false"/>
          <w:spacing w:val="-42"/>
          <w:sz w:val="22"/>
          <w:szCs w:val="22"/>
          <w:u w:val="none"/>
        </w:rPr>
        <w:t xml:space="preserve"> </w:t>
      </w:r>
      <w:r>
        <w:rPr>
          <w:rFonts w:cs="IBM Plex Sans" w:ascii="IBM Plex Sans" w:hAnsi="IBM Plex Sans"/>
          <w:b w:val="false"/>
          <w:bCs w:val="false"/>
          <w:i w:val="false"/>
          <w:iCs w:val="false"/>
          <w:sz w:val="22"/>
          <w:szCs w:val="22"/>
          <w:u w:val="none"/>
        </w:rPr>
        <w:t>instalaciones.</w:t>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t>- Reparación y construcción de caños, acequias, embalses, gavias, nateros y otras infraestructuras hidráulicas del sistema de regadíos, o de aprovechamiento de escorrentías.</w:t>
      </w:r>
    </w:p>
    <w:p>
      <w:pPr>
        <w:pStyle w:val="Normal"/>
        <w:jc w:val="left"/>
        <w:rPr>
          <w:rFonts w:ascii="IBM Plex Sans" w:hAnsi="IBM Plex Sans" w:cs="IBM Plex Sans"/>
          <w:b w:val="false"/>
          <w:b w:val="false"/>
          <w:bCs w:val="false"/>
          <w:i w:val="false"/>
          <w:i w:val="false"/>
          <w:iCs w:val="false"/>
          <w:spacing w:val="-3"/>
          <w:sz w:val="22"/>
          <w:szCs w:val="22"/>
          <w:u w:val="none"/>
        </w:rPr>
      </w:pPr>
      <w:r>
        <w:rPr>
          <w:rFonts w:cs="IBM Plex Sans" w:ascii="IBM Plex Sans" w:hAnsi="IBM Plex Sans"/>
          <w:b w:val="false"/>
          <w:bCs w:val="false"/>
          <w:i w:val="false"/>
          <w:iCs w:val="false"/>
          <w:spacing w:val="-3"/>
          <w:sz w:val="22"/>
          <w:szCs w:val="22"/>
          <w:u w:val="none"/>
        </w:rPr>
      </w:r>
    </w:p>
    <w:p>
      <w:pPr>
        <w:pStyle w:val="Normal"/>
        <w:jc w:val="left"/>
        <w:rPr/>
      </w:pPr>
      <w:r>
        <w:rPr>
          <w:rFonts w:cs="IBM Plex Sans" w:ascii="IBM Plex Sans" w:hAnsi="IBM Plex Sans"/>
          <w:b w:val="false"/>
          <w:bCs w:val="false"/>
          <w:i w:val="false"/>
          <w:iCs w:val="false"/>
          <w:spacing w:val="-3"/>
          <w:sz w:val="22"/>
          <w:szCs w:val="22"/>
          <w:u w:val="none"/>
        </w:rPr>
        <w:t xml:space="preserve">- Muros </w:t>
      </w:r>
      <w:r>
        <w:rPr>
          <w:rFonts w:cs="IBM Plex Sans" w:ascii="IBM Plex Sans" w:hAnsi="IBM Plex Sans"/>
          <w:b w:val="false"/>
          <w:bCs w:val="false"/>
          <w:i w:val="false"/>
          <w:iCs w:val="false"/>
          <w:sz w:val="22"/>
          <w:szCs w:val="22"/>
          <w:u w:val="none"/>
        </w:rPr>
        <w:t xml:space="preserve">de </w:t>
      </w:r>
      <w:r>
        <w:rPr>
          <w:rFonts w:cs="IBM Plex Sans" w:ascii="IBM Plex Sans" w:hAnsi="IBM Plex Sans"/>
          <w:b w:val="false"/>
          <w:bCs w:val="false"/>
          <w:i w:val="false"/>
          <w:iCs w:val="false"/>
          <w:spacing w:val="-3"/>
          <w:sz w:val="22"/>
          <w:szCs w:val="22"/>
          <w:u w:val="none"/>
        </w:rPr>
        <w:t xml:space="preserve">contención, </w:t>
      </w:r>
      <w:r>
        <w:rPr>
          <w:rFonts w:cs="IBM Plex Sans" w:ascii="IBM Plex Sans" w:hAnsi="IBM Plex Sans"/>
          <w:b w:val="false"/>
          <w:bCs w:val="false"/>
          <w:i w:val="false"/>
          <w:iCs w:val="false"/>
          <w:sz w:val="22"/>
          <w:szCs w:val="22"/>
          <w:u w:val="none"/>
        </w:rPr>
        <w:t xml:space="preserve">de </w:t>
      </w:r>
      <w:r>
        <w:rPr>
          <w:rFonts w:cs="IBM Plex Sans" w:ascii="IBM Plex Sans" w:hAnsi="IBM Plex Sans"/>
          <w:b w:val="false"/>
          <w:bCs w:val="false"/>
          <w:i w:val="false"/>
          <w:iCs w:val="false"/>
          <w:spacing w:val="-3"/>
          <w:sz w:val="22"/>
          <w:szCs w:val="22"/>
          <w:u w:val="none"/>
        </w:rPr>
        <w:t xml:space="preserve">nueva construcción </w:t>
      </w:r>
      <w:r>
        <w:rPr>
          <w:rFonts w:cs="IBM Plex Sans" w:ascii="IBM Plex Sans" w:hAnsi="IBM Plex Sans"/>
          <w:b w:val="false"/>
          <w:bCs w:val="false"/>
          <w:i w:val="false"/>
          <w:iCs w:val="false"/>
          <w:sz w:val="22"/>
          <w:szCs w:val="22"/>
          <w:u w:val="none"/>
        </w:rPr>
        <w:t xml:space="preserve">que con la </w:t>
      </w:r>
      <w:r>
        <w:rPr>
          <w:rFonts w:cs="IBM Plex Sans" w:ascii="IBM Plex Sans" w:hAnsi="IBM Plex Sans"/>
          <w:b w:val="false"/>
          <w:bCs w:val="false"/>
          <w:i w:val="false"/>
          <w:iCs w:val="false"/>
          <w:spacing w:val="-3"/>
          <w:sz w:val="22"/>
          <w:szCs w:val="22"/>
          <w:u w:val="none"/>
        </w:rPr>
        <w:t xml:space="preserve">misma finalidad se </w:t>
      </w:r>
      <w:r>
        <w:rPr>
          <w:rFonts w:cs="IBM Plex Sans" w:ascii="IBM Plex Sans" w:hAnsi="IBM Plex Sans"/>
          <w:b w:val="false"/>
          <w:bCs w:val="false"/>
          <w:i w:val="false"/>
          <w:iCs w:val="false"/>
          <w:sz w:val="22"/>
          <w:szCs w:val="22"/>
          <w:u w:val="none"/>
        </w:rPr>
        <w:t>levanten con materiales naturales del lugar y no sobrepasen la altura de un (1,00)</w:t>
      </w:r>
      <w:r>
        <w:rPr>
          <w:rFonts w:cs="IBM Plex Sans" w:ascii="IBM Plex Sans" w:hAnsi="IBM Plex Sans"/>
          <w:b w:val="false"/>
          <w:bCs w:val="false"/>
          <w:i w:val="false"/>
          <w:iCs w:val="false"/>
          <w:spacing w:val="-21"/>
          <w:sz w:val="22"/>
          <w:szCs w:val="22"/>
          <w:u w:val="none"/>
        </w:rPr>
        <w:t xml:space="preserve"> </w:t>
      </w:r>
      <w:r>
        <w:rPr>
          <w:rFonts w:cs="IBM Plex Sans" w:ascii="IBM Plex Sans" w:hAnsi="IBM Plex Sans"/>
          <w:b w:val="false"/>
          <w:bCs w:val="false"/>
          <w:i w:val="false"/>
          <w:iCs w:val="false"/>
          <w:sz w:val="22"/>
          <w:szCs w:val="22"/>
          <w:u w:val="none"/>
        </w:rPr>
        <w:t>metro sobre la cota natural del</w:t>
      </w:r>
      <w:r>
        <w:rPr>
          <w:rFonts w:cs="IBM Plex Sans" w:ascii="IBM Plex Sans" w:hAnsi="IBM Plex Sans"/>
          <w:b w:val="false"/>
          <w:bCs w:val="false"/>
          <w:i w:val="false"/>
          <w:iCs w:val="false"/>
          <w:spacing w:val="-28"/>
          <w:sz w:val="22"/>
          <w:szCs w:val="22"/>
          <w:u w:val="none"/>
        </w:rPr>
        <w:t xml:space="preserve"> </w:t>
      </w:r>
      <w:r>
        <w:rPr>
          <w:rFonts w:cs="IBM Plex Sans" w:ascii="IBM Plex Sans" w:hAnsi="IBM Plex Sans"/>
          <w:b w:val="false"/>
          <w:bCs w:val="false"/>
          <w:i w:val="false"/>
          <w:iCs w:val="false"/>
          <w:sz w:val="22"/>
          <w:szCs w:val="22"/>
          <w:u w:val="none"/>
        </w:rPr>
        <w:t>terreno.</w:t>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pPr>
      <w:r>
        <w:rPr>
          <w:rFonts w:cs="IBM Plex Sans" w:ascii="IBM Plex Sans" w:hAnsi="IBM Plex Sans"/>
          <w:b w:val="false"/>
          <w:bCs w:val="false"/>
          <w:i w:val="false"/>
          <w:iCs w:val="false"/>
          <w:sz w:val="22"/>
          <w:szCs w:val="22"/>
          <w:u w:val="none"/>
        </w:rPr>
        <w:t>- Vallados</w:t>
      </w:r>
      <w:r>
        <w:rPr>
          <w:rFonts w:cs="IBM Plex Sans" w:ascii="IBM Plex Sans" w:hAnsi="IBM Plex Sans"/>
          <w:b w:val="false"/>
          <w:bCs w:val="false"/>
          <w:i w:val="false"/>
          <w:iCs w:val="false"/>
          <w:spacing w:val="-6"/>
          <w:sz w:val="22"/>
          <w:szCs w:val="22"/>
          <w:u w:val="none"/>
        </w:rPr>
        <w:t xml:space="preserve"> </w:t>
      </w:r>
      <w:r>
        <w:rPr>
          <w:rFonts w:cs="IBM Plex Sans" w:ascii="IBM Plex Sans" w:hAnsi="IBM Plex Sans"/>
          <w:b w:val="false"/>
          <w:bCs w:val="false"/>
          <w:i w:val="false"/>
          <w:iCs w:val="false"/>
          <w:sz w:val="22"/>
          <w:szCs w:val="22"/>
          <w:u w:val="none"/>
        </w:rPr>
        <w:t>con</w:t>
      </w:r>
      <w:r>
        <w:rPr>
          <w:rFonts w:cs="IBM Plex Sans" w:ascii="IBM Plex Sans" w:hAnsi="IBM Plex Sans"/>
          <w:b w:val="false"/>
          <w:bCs w:val="false"/>
          <w:i w:val="false"/>
          <w:iCs w:val="false"/>
          <w:spacing w:val="-6"/>
          <w:sz w:val="22"/>
          <w:szCs w:val="22"/>
          <w:u w:val="none"/>
        </w:rPr>
        <w:t xml:space="preserve"> </w:t>
      </w:r>
      <w:r>
        <w:rPr>
          <w:rFonts w:cs="IBM Plex Sans" w:ascii="IBM Plex Sans" w:hAnsi="IBM Plex Sans"/>
          <w:b w:val="false"/>
          <w:bCs w:val="false"/>
          <w:i w:val="false"/>
          <w:iCs w:val="false"/>
          <w:sz w:val="22"/>
          <w:szCs w:val="22"/>
          <w:u w:val="none"/>
        </w:rPr>
        <w:t>material</w:t>
      </w:r>
      <w:r>
        <w:rPr>
          <w:rFonts w:cs="IBM Plex Sans" w:ascii="IBM Plex Sans" w:hAnsi="IBM Plex Sans"/>
          <w:b w:val="false"/>
          <w:bCs w:val="false"/>
          <w:i w:val="false"/>
          <w:iCs w:val="false"/>
          <w:spacing w:val="-6"/>
          <w:sz w:val="22"/>
          <w:szCs w:val="22"/>
          <w:u w:val="none"/>
        </w:rPr>
        <w:t xml:space="preserve"> </w:t>
      </w:r>
      <w:r>
        <w:rPr>
          <w:rFonts w:cs="IBM Plex Sans" w:ascii="IBM Plex Sans" w:hAnsi="IBM Plex Sans"/>
          <w:b w:val="false"/>
          <w:bCs w:val="false"/>
          <w:i w:val="false"/>
          <w:iCs w:val="false"/>
          <w:sz w:val="22"/>
          <w:szCs w:val="22"/>
          <w:u w:val="none"/>
        </w:rPr>
        <w:t>transparente</w:t>
      </w:r>
      <w:r>
        <w:rPr>
          <w:rFonts w:cs="IBM Plex Sans" w:ascii="IBM Plex Sans" w:hAnsi="IBM Plex Sans"/>
          <w:b w:val="false"/>
          <w:bCs w:val="false"/>
          <w:i w:val="false"/>
          <w:iCs w:val="false"/>
          <w:spacing w:val="-6"/>
          <w:sz w:val="22"/>
          <w:szCs w:val="22"/>
          <w:u w:val="none"/>
        </w:rPr>
        <w:t xml:space="preserve"> </w:t>
      </w:r>
      <w:r>
        <w:rPr>
          <w:rFonts w:cs="IBM Plex Sans" w:ascii="IBM Plex Sans" w:hAnsi="IBM Plex Sans"/>
          <w:b w:val="false"/>
          <w:bCs w:val="false"/>
          <w:i w:val="false"/>
          <w:iCs w:val="false"/>
          <w:sz w:val="22"/>
          <w:szCs w:val="22"/>
          <w:u w:val="none"/>
        </w:rPr>
        <w:t>de</w:t>
      </w:r>
      <w:r>
        <w:rPr>
          <w:rFonts w:cs="IBM Plex Sans" w:ascii="IBM Plex Sans" w:hAnsi="IBM Plex Sans"/>
          <w:b w:val="false"/>
          <w:bCs w:val="false"/>
          <w:i w:val="false"/>
          <w:iCs w:val="false"/>
          <w:spacing w:val="-6"/>
          <w:sz w:val="22"/>
          <w:szCs w:val="22"/>
          <w:u w:val="none"/>
        </w:rPr>
        <w:t xml:space="preserve"> </w:t>
      </w:r>
      <w:r>
        <w:rPr>
          <w:rFonts w:cs="IBM Plex Sans" w:ascii="IBM Plex Sans" w:hAnsi="IBM Plex Sans"/>
          <w:b w:val="false"/>
          <w:bCs w:val="false"/>
          <w:i w:val="false"/>
          <w:iCs w:val="false"/>
          <w:sz w:val="22"/>
          <w:szCs w:val="22"/>
          <w:u w:val="none"/>
        </w:rPr>
        <w:t>hasta</w:t>
      </w:r>
      <w:r>
        <w:rPr>
          <w:rFonts w:cs="IBM Plex Sans" w:ascii="IBM Plex Sans" w:hAnsi="IBM Plex Sans"/>
          <w:b w:val="false"/>
          <w:bCs w:val="false"/>
          <w:i w:val="false"/>
          <w:iCs w:val="false"/>
          <w:spacing w:val="-11"/>
          <w:sz w:val="22"/>
          <w:szCs w:val="22"/>
          <w:u w:val="none"/>
        </w:rPr>
        <w:t xml:space="preserve"> </w:t>
      </w:r>
      <w:r>
        <w:rPr>
          <w:rFonts w:cs="IBM Plex Sans" w:ascii="IBM Plex Sans" w:hAnsi="IBM Plex Sans"/>
          <w:b w:val="false"/>
          <w:bCs w:val="false"/>
          <w:i w:val="false"/>
          <w:iCs w:val="false"/>
          <w:sz w:val="22"/>
          <w:szCs w:val="22"/>
          <w:u w:val="none"/>
        </w:rPr>
        <w:t>dos</w:t>
      </w:r>
      <w:r>
        <w:rPr>
          <w:rFonts w:cs="IBM Plex Sans" w:ascii="IBM Plex Sans" w:hAnsi="IBM Plex Sans"/>
          <w:b w:val="false"/>
          <w:bCs w:val="false"/>
          <w:i w:val="false"/>
          <w:iCs w:val="false"/>
          <w:spacing w:val="-4"/>
          <w:sz w:val="22"/>
          <w:szCs w:val="22"/>
          <w:u w:val="none"/>
        </w:rPr>
        <w:t xml:space="preserve"> </w:t>
      </w:r>
      <w:r>
        <w:rPr>
          <w:rFonts w:cs="IBM Plex Sans" w:ascii="IBM Plex Sans" w:hAnsi="IBM Plex Sans"/>
          <w:b w:val="false"/>
          <w:bCs w:val="false"/>
          <w:i w:val="false"/>
          <w:iCs w:val="false"/>
          <w:sz w:val="22"/>
          <w:szCs w:val="22"/>
          <w:u w:val="none"/>
        </w:rPr>
        <w:t>(2,00)</w:t>
      </w:r>
      <w:r>
        <w:rPr>
          <w:rFonts w:cs="IBM Plex Sans" w:ascii="IBM Plex Sans" w:hAnsi="IBM Plex Sans"/>
          <w:b w:val="false"/>
          <w:bCs w:val="false"/>
          <w:i w:val="false"/>
          <w:iCs w:val="false"/>
          <w:spacing w:val="-4"/>
          <w:sz w:val="22"/>
          <w:szCs w:val="22"/>
          <w:u w:val="none"/>
        </w:rPr>
        <w:t xml:space="preserve"> </w:t>
      </w:r>
      <w:r>
        <w:rPr>
          <w:rFonts w:cs="IBM Plex Sans" w:ascii="IBM Plex Sans" w:hAnsi="IBM Plex Sans"/>
          <w:b w:val="false"/>
          <w:bCs w:val="false"/>
          <w:i w:val="false"/>
          <w:iCs w:val="false"/>
          <w:sz w:val="22"/>
          <w:szCs w:val="22"/>
          <w:u w:val="none"/>
        </w:rPr>
        <w:t>metros</w:t>
      </w:r>
      <w:r>
        <w:rPr>
          <w:rFonts w:cs="IBM Plex Sans" w:ascii="IBM Plex Sans" w:hAnsi="IBM Plex Sans"/>
          <w:b w:val="false"/>
          <w:bCs w:val="false"/>
          <w:i w:val="false"/>
          <w:iCs w:val="false"/>
          <w:spacing w:val="-4"/>
          <w:sz w:val="22"/>
          <w:szCs w:val="22"/>
          <w:u w:val="none"/>
        </w:rPr>
        <w:t xml:space="preserve"> </w:t>
      </w:r>
      <w:r>
        <w:rPr>
          <w:rFonts w:cs="IBM Plex Sans" w:ascii="IBM Plex Sans" w:hAnsi="IBM Plex Sans"/>
          <w:b w:val="false"/>
          <w:bCs w:val="false"/>
          <w:i w:val="false"/>
          <w:iCs w:val="false"/>
          <w:sz w:val="22"/>
          <w:szCs w:val="22"/>
          <w:u w:val="none"/>
        </w:rPr>
        <w:t>de</w:t>
      </w:r>
      <w:r>
        <w:rPr>
          <w:rFonts w:cs="IBM Plex Sans" w:ascii="IBM Plex Sans" w:hAnsi="IBM Plex Sans"/>
          <w:b w:val="false"/>
          <w:bCs w:val="false"/>
          <w:i w:val="false"/>
          <w:iCs w:val="false"/>
          <w:spacing w:val="-4"/>
          <w:sz w:val="22"/>
          <w:szCs w:val="22"/>
          <w:u w:val="none"/>
        </w:rPr>
        <w:t xml:space="preserve"> </w:t>
      </w:r>
      <w:r>
        <w:rPr>
          <w:rFonts w:cs="IBM Plex Sans" w:ascii="IBM Plex Sans" w:hAnsi="IBM Plex Sans"/>
          <w:b w:val="false"/>
          <w:bCs w:val="false"/>
          <w:i w:val="false"/>
          <w:iCs w:val="false"/>
          <w:sz w:val="22"/>
          <w:szCs w:val="22"/>
          <w:u w:val="none"/>
        </w:rPr>
        <w:t>alto.</w:t>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pPr>
      <w:r>
        <w:rPr>
          <w:rFonts w:cs="IBM Plex Sans" w:ascii="IBM Plex Sans" w:hAnsi="IBM Plex Sans"/>
          <w:b w:val="false"/>
          <w:bCs w:val="false"/>
          <w:i w:val="false"/>
          <w:iCs w:val="false"/>
          <w:sz w:val="22"/>
          <w:szCs w:val="22"/>
          <w:u w:val="none"/>
        </w:rPr>
        <w:t>- Muros de hasta un (1,00) metro de altura siempre que sean de piedra y materiales naturales del</w:t>
      </w:r>
      <w:r>
        <w:rPr>
          <w:rFonts w:cs="IBM Plex Sans" w:ascii="IBM Plex Sans" w:hAnsi="IBM Plex Sans"/>
          <w:b w:val="false"/>
          <w:bCs w:val="false"/>
          <w:i w:val="false"/>
          <w:iCs w:val="false"/>
          <w:spacing w:val="-14"/>
          <w:sz w:val="22"/>
          <w:szCs w:val="22"/>
          <w:u w:val="none"/>
        </w:rPr>
        <w:t xml:space="preserve"> </w:t>
      </w:r>
      <w:r>
        <w:rPr>
          <w:rFonts w:cs="IBM Plex Sans" w:ascii="IBM Plex Sans" w:hAnsi="IBM Plex Sans"/>
          <w:b w:val="false"/>
          <w:bCs w:val="false"/>
          <w:i w:val="false"/>
          <w:iCs w:val="false"/>
          <w:spacing w:val="-2"/>
          <w:sz w:val="22"/>
          <w:szCs w:val="22"/>
          <w:u w:val="none"/>
        </w:rPr>
        <w:t>lugar.</w:t>
      </w:r>
    </w:p>
    <w:p>
      <w:pPr>
        <w:pStyle w:val="Normal"/>
        <w:jc w:val="left"/>
        <w:rPr>
          <w:rFonts w:ascii="IBM Plex Sans" w:hAnsi="IBM Plex Sans" w:cs="IBM Plex Sans"/>
          <w:b w:val="false"/>
          <w:b w:val="false"/>
          <w:bCs w:val="false"/>
          <w:i w:val="false"/>
          <w:i w:val="false"/>
          <w:iCs w:val="false"/>
          <w:spacing w:val="-3"/>
          <w:sz w:val="22"/>
          <w:szCs w:val="22"/>
          <w:u w:val="none"/>
        </w:rPr>
      </w:pPr>
      <w:r>
        <w:rPr>
          <w:rFonts w:cs="IBM Plex Sans" w:ascii="IBM Plex Sans" w:hAnsi="IBM Plex Sans"/>
          <w:b w:val="false"/>
          <w:bCs w:val="false"/>
          <w:i w:val="false"/>
          <w:iCs w:val="false"/>
          <w:spacing w:val="-3"/>
          <w:sz w:val="22"/>
          <w:szCs w:val="22"/>
          <w:u w:val="none"/>
        </w:rPr>
      </w:r>
    </w:p>
    <w:p>
      <w:pPr>
        <w:pStyle w:val="Normal"/>
        <w:jc w:val="left"/>
        <w:rPr/>
      </w:pPr>
      <w:r>
        <w:rPr>
          <w:rFonts w:cs="IBM Plex Sans" w:ascii="IBM Plex Sans" w:hAnsi="IBM Plex Sans"/>
          <w:b w:val="false"/>
          <w:bCs w:val="false"/>
          <w:i w:val="false"/>
          <w:iCs w:val="false"/>
          <w:spacing w:val="-3"/>
          <w:sz w:val="22"/>
          <w:szCs w:val="22"/>
          <w:u w:val="none"/>
        </w:rPr>
        <w:t xml:space="preserve">- Cerramientos mixtos </w:t>
      </w:r>
      <w:r>
        <w:rPr>
          <w:rFonts w:cs="IBM Plex Sans" w:ascii="IBM Plex Sans" w:hAnsi="IBM Plex Sans"/>
          <w:b w:val="false"/>
          <w:bCs w:val="false"/>
          <w:i w:val="false"/>
          <w:iCs w:val="false"/>
          <w:sz w:val="22"/>
          <w:szCs w:val="22"/>
          <w:u w:val="none"/>
        </w:rPr>
        <w:t xml:space="preserve">de </w:t>
      </w:r>
      <w:r>
        <w:rPr>
          <w:rFonts w:cs="IBM Plex Sans" w:ascii="IBM Plex Sans" w:hAnsi="IBM Plex Sans"/>
          <w:b w:val="false"/>
          <w:bCs w:val="false"/>
          <w:i w:val="false"/>
          <w:iCs w:val="false"/>
          <w:spacing w:val="-3"/>
          <w:sz w:val="22"/>
          <w:szCs w:val="22"/>
          <w:u w:val="none"/>
        </w:rPr>
        <w:t xml:space="preserve">muros </w:t>
      </w:r>
      <w:r>
        <w:rPr>
          <w:rFonts w:cs="IBM Plex Sans" w:ascii="IBM Plex Sans" w:hAnsi="IBM Plex Sans"/>
          <w:b w:val="false"/>
          <w:bCs w:val="false"/>
          <w:i w:val="false"/>
          <w:iCs w:val="false"/>
          <w:sz w:val="22"/>
          <w:szCs w:val="22"/>
          <w:u w:val="none"/>
        </w:rPr>
        <w:t xml:space="preserve">y </w:t>
      </w:r>
      <w:r>
        <w:rPr>
          <w:rFonts w:cs="IBM Plex Sans" w:ascii="IBM Plex Sans" w:hAnsi="IBM Plex Sans"/>
          <w:b w:val="false"/>
          <w:bCs w:val="false"/>
          <w:i w:val="false"/>
          <w:iCs w:val="false"/>
          <w:spacing w:val="-3"/>
          <w:sz w:val="22"/>
          <w:szCs w:val="22"/>
          <w:u w:val="none"/>
        </w:rPr>
        <w:t xml:space="preserve">vallados </w:t>
      </w:r>
      <w:r>
        <w:rPr>
          <w:rFonts w:cs="IBM Plex Sans" w:ascii="IBM Plex Sans" w:hAnsi="IBM Plex Sans"/>
          <w:b w:val="false"/>
          <w:bCs w:val="false"/>
          <w:i w:val="false"/>
          <w:iCs w:val="false"/>
          <w:sz w:val="22"/>
          <w:szCs w:val="22"/>
          <w:u w:val="none"/>
        </w:rPr>
        <w:t xml:space="preserve">con </w:t>
      </w:r>
      <w:r>
        <w:rPr>
          <w:rFonts w:cs="IBM Plex Sans" w:ascii="IBM Plex Sans" w:hAnsi="IBM Plex Sans"/>
          <w:b w:val="false"/>
          <w:bCs w:val="false"/>
          <w:i w:val="false"/>
          <w:iCs w:val="false"/>
          <w:spacing w:val="-3"/>
          <w:sz w:val="22"/>
          <w:szCs w:val="22"/>
          <w:u w:val="none"/>
        </w:rPr>
        <w:t xml:space="preserve">material transparente siempre </w:t>
      </w:r>
      <w:r>
        <w:rPr>
          <w:rFonts w:cs="IBM Plex Sans" w:ascii="IBM Plex Sans" w:hAnsi="IBM Plex Sans"/>
          <w:b w:val="false"/>
          <w:bCs w:val="false"/>
          <w:i w:val="false"/>
          <w:iCs w:val="false"/>
          <w:sz w:val="22"/>
          <w:szCs w:val="22"/>
          <w:u w:val="none"/>
        </w:rPr>
        <w:t xml:space="preserve">que la </w:t>
      </w:r>
      <w:r>
        <w:rPr>
          <w:rFonts w:cs="IBM Plex Sans" w:ascii="IBM Plex Sans" w:hAnsi="IBM Plex Sans"/>
          <w:b w:val="false"/>
          <w:bCs w:val="false"/>
          <w:i w:val="false"/>
          <w:iCs w:val="false"/>
          <w:spacing w:val="-3"/>
          <w:sz w:val="22"/>
          <w:szCs w:val="22"/>
          <w:u w:val="none"/>
        </w:rPr>
        <w:t xml:space="preserve">altura </w:t>
      </w:r>
      <w:r>
        <w:rPr>
          <w:rFonts w:cs="IBM Plex Sans" w:ascii="IBM Plex Sans" w:hAnsi="IBM Plex Sans"/>
          <w:b w:val="false"/>
          <w:bCs w:val="false"/>
          <w:i w:val="false"/>
          <w:iCs w:val="false"/>
          <w:sz w:val="22"/>
          <w:szCs w:val="22"/>
          <w:u w:val="none"/>
        </w:rPr>
        <w:t xml:space="preserve">de los </w:t>
      </w:r>
      <w:r>
        <w:rPr>
          <w:rFonts w:cs="IBM Plex Sans" w:ascii="IBM Plex Sans" w:hAnsi="IBM Plex Sans"/>
          <w:b w:val="false"/>
          <w:bCs w:val="false"/>
          <w:i w:val="false"/>
          <w:iCs w:val="false"/>
          <w:spacing w:val="-3"/>
          <w:sz w:val="22"/>
          <w:szCs w:val="22"/>
          <w:u w:val="none"/>
        </w:rPr>
        <w:t xml:space="preserve">muros </w:t>
      </w:r>
      <w:r>
        <w:rPr>
          <w:rFonts w:cs="IBM Plex Sans" w:ascii="IBM Plex Sans" w:hAnsi="IBM Plex Sans"/>
          <w:b w:val="false"/>
          <w:bCs w:val="false"/>
          <w:i w:val="false"/>
          <w:iCs w:val="false"/>
          <w:sz w:val="22"/>
          <w:szCs w:val="22"/>
          <w:u w:val="none"/>
        </w:rPr>
        <w:t xml:space="preserve">no </w:t>
      </w:r>
      <w:r>
        <w:rPr>
          <w:rFonts w:cs="IBM Plex Sans" w:ascii="IBM Plex Sans" w:hAnsi="IBM Plex Sans"/>
          <w:b w:val="false"/>
          <w:bCs w:val="false"/>
          <w:i w:val="false"/>
          <w:iCs w:val="false"/>
          <w:spacing w:val="-3"/>
          <w:sz w:val="22"/>
          <w:szCs w:val="22"/>
          <w:u w:val="none"/>
        </w:rPr>
        <w:t xml:space="preserve">exceda </w:t>
      </w:r>
      <w:r>
        <w:rPr>
          <w:rFonts w:cs="IBM Plex Sans" w:ascii="IBM Plex Sans" w:hAnsi="IBM Plex Sans"/>
          <w:b w:val="false"/>
          <w:bCs w:val="false"/>
          <w:i w:val="false"/>
          <w:iCs w:val="false"/>
          <w:sz w:val="22"/>
          <w:szCs w:val="22"/>
          <w:u w:val="none"/>
        </w:rPr>
        <w:t>de 60</w:t>
      </w:r>
      <w:r>
        <w:rPr>
          <w:rFonts w:cs="IBM Plex Sans" w:ascii="IBM Plex Sans" w:hAnsi="IBM Plex Sans"/>
          <w:b w:val="false"/>
          <w:bCs w:val="false"/>
          <w:i w:val="false"/>
          <w:iCs w:val="false"/>
          <w:spacing w:val="37"/>
          <w:sz w:val="22"/>
          <w:szCs w:val="22"/>
          <w:u w:val="none"/>
        </w:rPr>
        <w:t xml:space="preserve"> </w:t>
      </w:r>
      <w:r>
        <w:rPr>
          <w:rFonts w:cs="IBM Plex Sans" w:ascii="IBM Plex Sans" w:hAnsi="IBM Plex Sans"/>
          <w:b w:val="false"/>
          <w:bCs w:val="false"/>
          <w:i w:val="false"/>
          <w:iCs w:val="false"/>
          <w:sz w:val="22"/>
          <w:szCs w:val="22"/>
          <w:u w:val="none"/>
        </w:rPr>
        <w:t>cms.</w:t>
      </w:r>
    </w:p>
    <w:p>
      <w:pPr>
        <w:pStyle w:val="Normal"/>
        <w:jc w:val="left"/>
        <w:rPr>
          <w:rFonts w:ascii="IBM Plex Sans" w:hAnsi="IBM Plex Sans" w:cs="IBM Plex Sans"/>
          <w:b w:val="false"/>
          <w:b w:val="false"/>
          <w:bCs w:val="false"/>
          <w:i w:val="false"/>
          <w:i w:val="false"/>
          <w:iCs w:val="false"/>
          <w:spacing w:val="-3"/>
          <w:sz w:val="22"/>
          <w:szCs w:val="22"/>
          <w:u w:val="none"/>
        </w:rPr>
      </w:pPr>
      <w:r>
        <w:rPr>
          <w:rFonts w:cs="IBM Plex Sans" w:ascii="IBM Plex Sans" w:hAnsi="IBM Plex Sans"/>
          <w:b w:val="false"/>
          <w:bCs w:val="false"/>
          <w:i w:val="false"/>
          <w:iCs w:val="false"/>
          <w:spacing w:val="-3"/>
          <w:sz w:val="22"/>
          <w:szCs w:val="22"/>
          <w:u w:val="none"/>
        </w:rPr>
      </w:r>
    </w:p>
    <w:p>
      <w:pPr>
        <w:pStyle w:val="Normal"/>
        <w:jc w:val="left"/>
        <w:rPr/>
      </w:pPr>
      <w:r>
        <w:rPr>
          <w:rFonts w:cs="IBM Plex Sans" w:ascii="IBM Plex Sans" w:hAnsi="IBM Plex Sans"/>
          <w:b w:val="false"/>
          <w:bCs w:val="false"/>
          <w:i w:val="false"/>
          <w:iCs w:val="false"/>
          <w:spacing w:val="-3"/>
          <w:sz w:val="22"/>
          <w:szCs w:val="22"/>
          <w:u w:val="none"/>
        </w:rPr>
        <w:t xml:space="preserve">- Redes </w:t>
      </w:r>
      <w:r>
        <w:rPr>
          <w:rFonts w:cs="IBM Plex Sans" w:ascii="IBM Plex Sans" w:hAnsi="IBM Plex Sans"/>
          <w:b w:val="false"/>
          <w:bCs w:val="false"/>
          <w:i w:val="false"/>
          <w:iCs w:val="false"/>
          <w:sz w:val="22"/>
          <w:szCs w:val="22"/>
          <w:u w:val="none"/>
        </w:rPr>
        <w:t xml:space="preserve">y </w:t>
      </w:r>
      <w:r>
        <w:rPr>
          <w:rFonts w:cs="IBM Plex Sans" w:ascii="IBM Plex Sans" w:hAnsi="IBM Plex Sans"/>
          <w:b w:val="false"/>
          <w:bCs w:val="false"/>
          <w:i w:val="false"/>
          <w:iCs w:val="false"/>
          <w:spacing w:val="-3"/>
          <w:sz w:val="22"/>
          <w:szCs w:val="22"/>
          <w:u w:val="none"/>
        </w:rPr>
        <w:t xml:space="preserve">líneas eléctricas, hidráulicas </w:t>
      </w:r>
      <w:r>
        <w:rPr>
          <w:rFonts w:cs="IBM Plex Sans" w:ascii="IBM Plex Sans" w:hAnsi="IBM Plex Sans"/>
          <w:b w:val="false"/>
          <w:bCs w:val="false"/>
          <w:i w:val="false"/>
          <w:iCs w:val="false"/>
          <w:sz w:val="22"/>
          <w:szCs w:val="22"/>
          <w:u w:val="none"/>
        </w:rPr>
        <w:t xml:space="preserve">y de </w:t>
      </w:r>
      <w:r>
        <w:rPr>
          <w:rFonts w:cs="IBM Plex Sans" w:ascii="IBM Plex Sans" w:hAnsi="IBM Plex Sans"/>
          <w:b w:val="false"/>
          <w:bCs w:val="false"/>
          <w:i w:val="false"/>
          <w:iCs w:val="false"/>
          <w:spacing w:val="-3"/>
          <w:sz w:val="22"/>
          <w:szCs w:val="22"/>
          <w:u w:val="none"/>
        </w:rPr>
        <w:t xml:space="preserve">comunicaciones </w:t>
      </w:r>
      <w:r>
        <w:rPr>
          <w:rFonts w:cs="IBM Plex Sans" w:ascii="IBM Plex Sans" w:hAnsi="IBM Plex Sans"/>
          <w:b w:val="false"/>
          <w:bCs w:val="false"/>
          <w:i w:val="false"/>
          <w:iCs w:val="false"/>
          <w:sz w:val="22"/>
          <w:szCs w:val="22"/>
          <w:u w:val="none"/>
        </w:rPr>
        <w:t xml:space="preserve">que se </w:t>
      </w:r>
      <w:r>
        <w:rPr>
          <w:rFonts w:cs="IBM Plex Sans" w:ascii="IBM Plex Sans" w:hAnsi="IBM Plex Sans"/>
          <w:b w:val="false"/>
          <w:bCs w:val="false"/>
          <w:i w:val="false"/>
          <w:iCs w:val="false"/>
          <w:spacing w:val="-3"/>
          <w:sz w:val="22"/>
          <w:szCs w:val="22"/>
          <w:u w:val="none"/>
        </w:rPr>
        <w:t xml:space="preserve">ejecuten de </w:t>
      </w:r>
      <w:r>
        <w:rPr>
          <w:rFonts w:cs="IBM Plex Sans" w:ascii="IBM Plex Sans" w:hAnsi="IBM Plex Sans"/>
          <w:b w:val="false"/>
          <w:bCs w:val="false"/>
          <w:i w:val="false"/>
          <w:iCs w:val="false"/>
          <w:sz w:val="22"/>
          <w:szCs w:val="22"/>
          <w:u w:val="none"/>
        </w:rPr>
        <w:t>forma</w:t>
      </w:r>
      <w:r>
        <w:rPr>
          <w:rFonts w:cs="IBM Plex Sans" w:ascii="IBM Plex Sans" w:hAnsi="IBM Plex Sans"/>
          <w:b w:val="false"/>
          <w:bCs w:val="false"/>
          <w:i w:val="false"/>
          <w:iCs w:val="false"/>
          <w:spacing w:val="-15"/>
          <w:sz w:val="22"/>
          <w:szCs w:val="22"/>
          <w:u w:val="none"/>
        </w:rPr>
        <w:t xml:space="preserve"> </w:t>
      </w:r>
      <w:r>
        <w:rPr>
          <w:rFonts w:cs="IBM Plex Sans" w:ascii="IBM Plex Sans" w:hAnsi="IBM Plex Sans"/>
          <w:b w:val="false"/>
          <w:bCs w:val="false"/>
          <w:i w:val="false"/>
          <w:iCs w:val="false"/>
          <w:sz w:val="22"/>
          <w:szCs w:val="22"/>
          <w:u w:val="none"/>
        </w:rPr>
        <w:t>soterrada.</w:t>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b/>
          <w:bCs/>
          <w:i w:val="false"/>
          <w:i w:val="false"/>
          <w:iCs w:val="false"/>
          <w:sz w:val="22"/>
          <w:szCs w:val="22"/>
          <w:u w:val="none"/>
        </w:rPr>
      </w:pPr>
      <w:r>
        <w:rPr>
          <w:rFonts w:cs="IBM Plex Sans" w:ascii="IBM Plex Sans" w:hAnsi="IBM Plex Sans"/>
          <w:b/>
          <w:bCs/>
          <w:i w:val="false"/>
          <w:iCs w:val="false"/>
          <w:sz w:val="22"/>
          <w:szCs w:val="22"/>
          <w:u w:val="none"/>
        </w:rPr>
        <w:t>ARTÍCULO 7. DOCUMENTACIÓN EXIGIDA EN EL PROCEDIMIENTO ORDINARIO.</w:t>
      </w:r>
    </w:p>
    <w:p>
      <w:pPr>
        <w:pStyle w:val="Normal"/>
        <w:jc w:val="left"/>
        <w:rPr/>
      </w:pPr>
      <w:r>
        <w:rPr>
          <w:rFonts w:cs="IBM Plex Sans" w:ascii="IBM Plex Sans" w:hAnsi="IBM Plex Sans"/>
          <w:b w:val="false"/>
          <w:bCs w:val="false"/>
          <w:i w:val="false"/>
          <w:iCs w:val="false"/>
          <w:sz w:val="22"/>
          <w:szCs w:val="22"/>
          <w:u w:val="none"/>
        </w:rPr>
        <w:t>a) Instancia normalizada por el Ayuntamiento en el anexo</w:t>
      </w:r>
      <w:r>
        <w:rPr>
          <w:rFonts w:cs="IBM Plex Sans" w:ascii="IBM Plex Sans" w:hAnsi="IBM Plex Sans"/>
          <w:b w:val="false"/>
          <w:bCs w:val="false"/>
          <w:i w:val="false"/>
          <w:iCs w:val="false"/>
          <w:spacing w:val="-10"/>
          <w:sz w:val="22"/>
          <w:szCs w:val="22"/>
          <w:u w:val="none"/>
        </w:rPr>
        <w:t xml:space="preserve"> </w:t>
      </w:r>
      <w:r>
        <w:rPr>
          <w:rFonts w:cs="IBM Plex Sans" w:ascii="IBM Plex Sans" w:hAnsi="IBM Plex Sans"/>
          <w:b w:val="false"/>
          <w:bCs w:val="false"/>
          <w:i w:val="false"/>
          <w:iCs w:val="false"/>
          <w:sz w:val="22"/>
          <w:szCs w:val="22"/>
          <w:u w:val="none"/>
        </w:rPr>
        <w:t>III.</w:t>
      </w:r>
    </w:p>
    <w:p>
      <w:pPr>
        <w:pStyle w:val="Normal"/>
        <w:jc w:val="left"/>
        <w:rPr/>
      </w:pPr>
      <w:r>
        <w:rPr>
          <w:rFonts w:cs="IBM Plex Sans" w:ascii="IBM Plex Sans" w:hAnsi="IBM Plex Sans"/>
          <w:b w:val="false"/>
          <w:bCs w:val="false"/>
          <w:i w:val="false"/>
          <w:iCs w:val="false"/>
          <w:sz w:val="22"/>
          <w:szCs w:val="22"/>
          <w:u w:val="none"/>
        </w:rPr>
        <w:t>b) Fotocopia del DNI/N.I.F/Pasaporte en vigor del</w:t>
      </w:r>
      <w:r>
        <w:rPr>
          <w:rFonts w:cs="IBM Plex Sans" w:ascii="IBM Plex Sans" w:hAnsi="IBM Plex Sans"/>
          <w:b w:val="false"/>
          <w:bCs w:val="false"/>
          <w:i w:val="false"/>
          <w:iCs w:val="false"/>
          <w:spacing w:val="-25"/>
          <w:sz w:val="22"/>
          <w:szCs w:val="22"/>
          <w:u w:val="none"/>
        </w:rPr>
        <w:t xml:space="preserve"> </w:t>
      </w:r>
      <w:r>
        <w:rPr>
          <w:rFonts w:cs="IBM Plex Sans" w:ascii="IBM Plex Sans" w:hAnsi="IBM Plex Sans"/>
          <w:b w:val="false"/>
          <w:bCs w:val="false"/>
          <w:i w:val="false"/>
          <w:iCs w:val="false"/>
          <w:sz w:val="22"/>
          <w:szCs w:val="22"/>
          <w:u w:val="none"/>
        </w:rPr>
        <w:t>interesado.</w:t>
      </w:r>
    </w:p>
    <w:p>
      <w:pPr>
        <w:pStyle w:val="Normal"/>
        <w:jc w:val="left"/>
        <w:rPr/>
      </w:pPr>
      <w:r>
        <w:rPr>
          <w:rFonts w:cs="IBM Plex Sans" w:ascii="IBM Plex Sans" w:hAnsi="IBM Plex Sans"/>
          <w:b w:val="false"/>
          <w:bCs w:val="false"/>
          <w:i w:val="false"/>
          <w:iCs w:val="false"/>
          <w:sz w:val="22"/>
          <w:szCs w:val="22"/>
          <w:u w:val="none"/>
        </w:rPr>
        <w:t>c) Documentación</w:t>
      </w:r>
      <w:r>
        <w:rPr>
          <w:rFonts w:cs="IBM Plex Sans" w:ascii="IBM Plex Sans" w:hAnsi="IBM Plex Sans"/>
          <w:b w:val="false"/>
          <w:bCs w:val="false"/>
          <w:i w:val="false"/>
          <w:iCs w:val="false"/>
          <w:spacing w:val="-11"/>
          <w:sz w:val="22"/>
          <w:szCs w:val="22"/>
          <w:u w:val="none"/>
        </w:rPr>
        <w:t xml:space="preserve"> </w:t>
      </w:r>
      <w:r>
        <w:rPr>
          <w:rFonts w:cs="IBM Plex Sans" w:ascii="IBM Plex Sans" w:hAnsi="IBM Plex Sans"/>
          <w:b w:val="false"/>
          <w:bCs w:val="false"/>
          <w:i w:val="false"/>
          <w:iCs w:val="false"/>
          <w:sz w:val="22"/>
          <w:szCs w:val="22"/>
          <w:u w:val="none"/>
        </w:rPr>
        <w:t>del</w:t>
      </w:r>
      <w:r>
        <w:rPr>
          <w:rFonts w:cs="IBM Plex Sans" w:ascii="IBM Plex Sans" w:hAnsi="IBM Plex Sans"/>
          <w:b w:val="false"/>
          <w:bCs w:val="false"/>
          <w:i w:val="false"/>
          <w:iCs w:val="false"/>
          <w:spacing w:val="-11"/>
          <w:sz w:val="22"/>
          <w:szCs w:val="22"/>
          <w:u w:val="none"/>
        </w:rPr>
        <w:t xml:space="preserve"> </w:t>
      </w:r>
      <w:r>
        <w:rPr>
          <w:rFonts w:cs="IBM Plex Sans" w:ascii="IBM Plex Sans" w:hAnsi="IBM Plex Sans"/>
          <w:b w:val="false"/>
          <w:bCs w:val="false"/>
          <w:i w:val="false"/>
          <w:iCs w:val="false"/>
          <w:sz w:val="22"/>
          <w:szCs w:val="22"/>
          <w:u w:val="none"/>
        </w:rPr>
        <w:t>representante</w:t>
      </w:r>
      <w:r>
        <w:rPr>
          <w:rFonts w:cs="IBM Plex Sans" w:ascii="IBM Plex Sans" w:hAnsi="IBM Plex Sans"/>
          <w:b w:val="false"/>
          <w:bCs w:val="false"/>
          <w:i w:val="false"/>
          <w:iCs w:val="false"/>
          <w:spacing w:val="-11"/>
          <w:sz w:val="22"/>
          <w:szCs w:val="22"/>
          <w:u w:val="none"/>
        </w:rPr>
        <w:t xml:space="preserve"> </w:t>
      </w:r>
      <w:r>
        <w:rPr>
          <w:rFonts w:cs="IBM Plex Sans" w:ascii="IBM Plex Sans" w:hAnsi="IBM Plex Sans"/>
          <w:b w:val="false"/>
          <w:bCs w:val="false"/>
          <w:i w:val="false"/>
          <w:iCs w:val="false"/>
          <w:sz w:val="22"/>
          <w:szCs w:val="22"/>
          <w:u w:val="none"/>
        </w:rPr>
        <w:t>legal,</w:t>
      </w:r>
      <w:r>
        <w:rPr>
          <w:rFonts w:cs="IBM Plex Sans" w:ascii="IBM Plex Sans" w:hAnsi="IBM Plex Sans"/>
          <w:b w:val="false"/>
          <w:bCs w:val="false"/>
          <w:i w:val="false"/>
          <w:iCs w:val="false"/>
          <w:spacing w:val="-11"/>
          <w:sz w:val="22"/>
          <w:szCs w:val="22"/>
          <w:u w:val="none"/>
        </w:rPr>
        <w:t xml:space="preserve"> </w:t>
      </w:r>
      <w:r>
        <w:rPr>
          <w:rFonts w:cs="IBM Plex Sans" w:ascii="IBM Plex Sans" w:hAnsi="IBM Plex Sans"/>
          <w:b w:val="false"/>
          <w:bCs w:val="false"/>
          <w:i w:val="false"/>
          <w:iCs w:val="false"/>
          <w:sz w:val="22"/>
          <w:szCs w:val="22"/>
          <w:u w:val="none"/>
        </w:rPr>
        <w:t>en</w:t>
      </w:r>
      <w:r>
        <w:rPr>
          <w:rFonts w:cs="IBM Plex Sans" w:ascii="IBM Plex Sans" w:hAnsi="IBM Plex Sans"/>
          <w:b w:val="false"/>
          <w:bCs w:val="false"/>
          <w:i w:val="false"/>
          <w:iCs w:val="false"/>
          <w:spacing w:val="-11"/>
          <w:sz w:val="22"/>
          <w:szCs w:val="22"/>
          <w:u w:val="none"/>
        </w:rPr>
        <w:t xml:space="preserve"> </w:t>
      </w:r>
      <w:r>
        <w:rPr>
          <w:rFonts w:cs="IBM Plex Sans" w:ascii="IBM Plex Sans" w:hAnsi="IBM Plex Sans"/>
          <w:b w:val="false"/>
          <w:bCs w:val="false"/>
          <w:i w:val="false"/>
          <w:iCs w:val="false"/>
          <w:sz w:val="22"/>
          <w:szCs w:val="22"/>
          <w:u w:val="none"/>
        </w:rPr>
        <w:t>caso</w:t>
      </w:r>
      <w:r>
        <w:rPr>
          <w:rFonts w:cs="IBM Plex Sans" w:ascii="IBM Plex Sans" w:hAnsi="IBM Plex Sans"/>
          <w:b w:val="false"/>
          <w:bCs w:val="false"/>
          <w:i w:val="false"/>
          <w:iCs w:val="false"/>
          <w:spacing w:val="-11"/>
          <w:sz w:val="22"/>
          <w:szCs w:val="22"/>
          <w:u w:val="none"/>
        </w:rPr>
        <w:t xml:space="preserve"> </w:t>
      </w:r>
      <w:r>
        <w:rPr>
          <w:rFonts w:cs="IBM Plex Sans" w:ascii="IBM Plex Sans" w:hAnsi="IBM Plex Sans"/>
          <w:b w:val="false"/>
          <w:bCs w:val="false"/>
          <w:i w:val="false"/>
          <w:iCs w:val="false"/>
          <w:sz w:val="22"/>
          <w:szCs w:val="22"/>
          <w:u w:val="none"/>
        </w:rPr>
        <w:t>de</w:t>
      </w:r>
      <w:r>
        <w:rPr>
          <w:rFonts w:cs="IBM Plex Sans" w:ascii="IBM Plex Sans" w:hAnsi="IBM Plex Sans"/>
          <w:b w:val="false"/>
          <w:bCs w:val="false"/>
          <w:i w:val="false"/>
          <w:iCs w:val="false"/>
          <w:spacing w:val="-11"/>
          <w:sz w:val="22"/>
          <w:szCs w:val="22"/>
          <w:u w:val="none"/>
        </w:rPr>
        <w:t xml:space="preserve"> </w:t>
      </w:r>
      <w:r>
        <w:rPr>
          <w:rFonts w:cs="IBM Plex Sans" w:ascii="IBM Plex Sans" w:hAnsi="IBM Plex Sans"/>
          <w:b w:val="false"/>
          <w:bCs w:val="false"/>
          <w:i w:val="false"/>
          <w:iCs w:val="false"/>
          <w:sz w:val="22"/>
          <w:szCs w:val="22"/>
          <w:u w:val="none"/>
        </w:rPr>
        <w:t>representación.</w:t>
      </w:r>
    </w:p>
    <w:p>
      <w:pPr>
        <w:pStyle w:val="Normal"/>
        <w:jc w:val="left"/>
        <w:rPr/>
      </w:pPr>
      <w:r>
        <w:rPr>
          <w:rFonts w:cs="IBM Plex Sans" w:ascii="IBM Plex Sans" w:hAnsi="IBM Plex Sans"/>
          <w:b w:val="false"/>
          <w:bCs w:val="false"/>
          <w:i w:val="false"/>
          <w:iCs w:val="false"/>
          <w:sz w:val="22"/>
          <w:szCs w:val="22"/>
          <w:u w:val="none"/>
        </w:rPr>
        <w:t>d) Declaración</w:t>
      </w:r>
      <w:r>
        <w:rPr>
          <w:rFonts w:cs="IBM Plex Sans" w:ascii="IBM Plex Sans" w:hAnsi="IBM Plex Sans"/>
          <w:b w:val="false"/>
          <w:bCs w:val="false"/>
          <w:i w:val="false"/>
          <w:iCs w:val="false"/>
          <w:spacing w:val="-5"/>
          <w:sz w:val="22"/>
          <w:szCs w:val="22"/>
          <w:u w:val="none"/>
        </w:rPr>
        <w:t xml:space="preserve"> </w:t>
      </w:r>
      <w:r>
        <w:rPr>
          <w:rFonts w:cs="IBM Plex Sans" w:ascii="IBM Plex Sans" w:hAnsi="IBM Plex Sans"/>
          <w:b w:val="false"/>
          <w:bCs w:val="false"/>
          <w:i w:val="false"/>
          <w:iCs w:val="false"/>
          <w:sz w:val="22"/>
          <w:szCs w:val="22"/>
          <w:u w:val="none"/>
        </w:rPr>
        <w:t>responsable</w:t>
      </w:r>
      <w:r>
        <w:rPr>
          <w:rFonts w:cs="IBM Plex Sans" w:ascii="IBM Plex Sans" w:hAnsi="IBM Plex Sans"/>
          <w:b w:val="false"/>
          <w:bCs w:val="false"/>
          <w:i w:val="false"/>
          <w:iCs w:val="false"/>
          <w:spacing w:val="-6"/>
          <w:sz w:val="22"/>
          <w:szCs w:val="22"/>
          <w:u w:val="none"/>
        </w:rPr>
        <w:t xml:space="preserve"> </w:t>
      </w:r>
      <w:r>
        <w:rPr>
          <w:rFonts w:cs="IBM Plex Sans" w:ascii="IBM Plex Sans" w:hAnsi="IBM Plex Sans"/>
          <w:b w:val="false"/>
          <w:bCs w:val="false"/>
          <w:i w:val="false"/>
          <w:iCs w:val="false"/>
          <w:sz w:val="22"/>
          <w:szCs w:val="22"/>
          <w:u w:val="none"/>
        </w:rPr>
        <w:t>del</w:t>
      </w:r>
      <w:r>
        <w:rPr>
          <w:rFonts w:cs="IBM Plex Sans" w:ascii="IBM Plex Sans" w:hAnsi="IBM Plex Sans"/>
          <w:b w:val="false"/>
          <w:bCs w:val="false"/>
          <w:i w:val="false"/>
          <w:iCs w:val="false"/>
          <w:spacing w:val="-6"/>
          <w:sz w:val="22"/>
          <w:szCs w:val="22"/>
          <w:u w:val="none"/>
        </w:rPr>
        <w:t xml:space="preserve"> </w:t>
      </w:r>
      <w:r>
        <w:rPr>
          <w:rFonts w:cs="IBM Plex Sans" w:ascii="IBM Plex Sans" w:hAnsi="IBM Plex Sans"/>
          <w:b w:val="false"/>
          <w:bCs w:val="false"/>
          <w:i w:val="false"/>
          <w:iCs w:val="false"/>
          <w:sz w:val="22"/>
          <w:szCs w:val="22"/>
          <w:u w:val="none"/>
        </w:rPr>
        <w:t>titular</w:t>
      </w:r>
      <w:r>
        <w:rPr>
          <w:rFonts w:cs="IBM Plex Sans" w:ascii="IBM Plex Sans" w:hAnsi="IBM Plex Sans"/>
          <w:b w:val="false"/>
          <w:bCs w:val="false"/>
          <w:i w:val="false"/>
          <w:iCs w:val="false"/>
          <w:spacing w:val="-6"/>
          <w:sz w:val="22"/>
          <w:szCs w:val="22"/>
          <w:u w:val="none"/>
        </w:rPr>
        <w:t xml:space="preserve"> </w:t>
      </w:r>
      <w:r>
        <w:rPr>
          <w:rFonts w:cs="IBM Plex Sans" w:ascii="IBM Plex Sans" w:hAnsi="IBM Plex Sans"/>
          <w:b w:val="false"/>
          <w:bCs w:val="false"/>
          <w:i w:val="false"/>
          <w:iCs w:val="false"/>
          <w:sz w:val="22"/>
          <w:szCs w:val="22"/>
          <w:u w:val="none"/>
        </w:rPr>
        <w:t>según</w:t>
      </w:r>
      <w:r>
        <w:rPr>
          <w:rFonts w:cs="IBM Plex Sans" w:ascii="IBM Plex Sans" w:hAnsi="IBM Plex Sans"/>
          <w:b w:val="false"/>
          <w:bCs w:val="false"/>
          <w:i w:val="false"/>
          <w:iCs w:val="false"/>
          <w:spacing w:val="-6"/>
          <w:sz w:val="22"/>
          <w:szCs w:val="22"/>
          <w:u w:val="none"/>
        </w:rPr>
        <w:t xml:space="preserve"> </w:t>
      </w:r>
      <w:r>
        <w:rPr>
          <w:rFonts w:cs="IBM Plex Sans" w:ascii="IBM Plex Sans" w:hAnsi="IBM Plex Sans"/>
          <w:b w:val="false"/>
          <w:bCs w:val="false"/>
          <w:i w:val="false"/>
          <w:iCs w:val="false"/>
          <w:sz w:val="22"/>
          <w:szCs w:val="22"/>
          <w:u w:val="none"/>
        </w:rPr>
        <w:t>el</w:t>
      </w:r>
      <w:r>
        <w:rPr>
          <w:rFonts w:cs="IBM Plex Sans" w:ascii="IBM Plex Sans" w:hAnsi="IBM Plex Sans"/>
          <w:b w:val="false"/>
          <w:bCs w:val="false"/>
          <w:i w:val="false"/>
          <w:iCs w:val="false"/>
          <w:spacing w:val="-6"/>
          <w:sz w:val="22"/>
          <w:szCs w:val="22"/>
          <w:u w:val="none"/>
        </w:rPr>
        <w:t xml:space="preserve"> </w:t>
      </w:r>
      <w:r>
        <w:rPr>
          <w:rFonts w:cs="IBM Plex Sans" w:ascii="IBM Plex Sans" w:hAnsi="IBM Plex Sans"/>
          <w:b w:val="false"/>
          <w:bCs w:val="false"/>
          <w:i w:val="false"/>
          <w:iCs w:val="false"/>
          <w:sz w:val="22"/>
          <w:szCs w:val="22"/>
          <w:u w:val="none"/>
        </w:rPr>
        <w:t>anexo</w:t>
      </w:r>
      <w:r>
        <w:rPr>
          <w:rFonts w:cs="IBM Plex Sans" w:ascii="IBM Plex Sans" w:hAnsi="IBM Plex Sans"/>
          <w:b w:val="false"/>
          <w:bCs w:val="false"/>
          <w:i w:val="false"/>
          <w:iCs w:val="false"/>
          <w:spacing w:val="-6"/>
          <w:sz w:val="22"/>
          <w:szCs w:val="22"/>
          <w:u w:val="none"/>
        </w:rPr>
        <w:t xml:space="preserve"> </w:t>
      </w:r>
      <w:r>
        <w:rPr>
          <w:rFonts w:cs="IBM Plex Sans" w:ascii="IBM Plex Sans" w:hAnsi="IBM Plex Sans"/>
          <w:b w:val="false"/>
          <w:bCs w:val="false"/>
          <w:i w:val="false"/>
          <w:iCs w:val="false"/>
          <w:sz w:val="22"/>
          <w:szCs w:val="22"/>
          <w:u w:val="none"/>
        </w:rPr>
        <w:t>normalizado</w:t>
      </w:r>
      <w:r>
        <w:rPr>
          <w:rFonts w:cs="IBM Plex Sans" w:ascii="IBM Plex Sans" w:hAnsi="IBM Plex Sans"/>
          <w:b w:val="false"/>
          <w:bCs w:val="false"/>
          <w:i w:val="false"/>
          <w:iCs w:val="false"/>
          <w:spacing w:val="-5"/>
          <w:sz w:val="22"/>
          <w:szCs w:val="22"/>
          <w:u w:val="none"/>
        </w:rPr>
        <w:t xml:space="preserve"> </w:t>
      </w:r>
      <w:r>
        <w:rPr>
          <w:rFonts w:cs="IBM Plex Sans" w:ascii="IBM Plex Sans" w:hAnsi="IBM Plex Sans"/>
          <w:b w:val="false"/>
          <w:bCs w:val="false"/>
          <w:i w:val="false"/>
          <w:iCs w:val="false"/>
          <w:sz w:val="22"/>
          <w:szCs w:val="22"/>
          <w:u w:val="none"/>
        </w:rPr>
        <w:t>en</w:t>
      </w:r>
      <w:r>
        <w:rPr>
          <w:rFonts w:cs="IBM Plex Sans" w:ascii="IBM Plex Sans" w:hAnsi="IBM Plex Sans"/>
          <w:b w:val="false"/>
          <w:bCs w:val="false"/>
          <w:i w:val="false"/>
          <w:iCs w:val="false"/>
          <w:spacing w:val="-6"/>
          <w:sz w:val="22"/>
          <w:szCs w:val="22"/>
          <w:u w:val="none"/>
        </w:rPr>
        <w:t xml:space="preserve"> </w:t>
      </w:r>
      <w:r>
        <w:rPr>
          <w:rFonts w:cs="IBM Plex Sans" w:ascii="IBM Plex Sans" w:hAnsi="IBM Plex Sans"/>
          <w:b w:val="false"/>
          <w:bCs w:val="false"/>
          <w:i w:val="false"/>
          <w:iCs w:val="false"/>
          <w:sz w:val="22"/>
          <w:szCs w:val="22"/>
          <w:u w:val="none"/>
        </w:rPr>
        <w:t>el</w:t>
      </w:r>
      <w:r>
        <w:rPr>
          <w:rFonts w:cs="IBM Plex Sans" w:ascii="IBM Plex Sans" w:hAnsi="IBM Plex Sans"/>
          <w:b w:val="false"/>
          <w:bCs w:val="false"/>
          <w:i w:val="false"/>
          <w:iCs w:val="false"/>
          <w:spacing w:val="-6"/>
          <w:sz w:val="22"/>
          <w:szCs w:val="22"/>
          <w:u w:val="none"/>
        </w:rPr>
        <w:t xml:space="preserve"> </w:t>
      </w:r>
      <w:r>
        <w:rPr>
          <w:rFonts w:cs="IBM Plex Sans" w:ascii="IBM Plex Sans" w:hAnsi="IBM Plex Sans"/>
          <w:b w:val="false"/>
          <w:bCs w:val="false"/>
          <w:i w:val="false"/>
          <w:iCs w:val="false"/>
          <w:sz w:val="22"/>
          <w:szCs w:val="22"/>
          <w:u w:val="none"/>
        </w:rPr>
        <w:t>anexo IV.</w:t>
      </w:r>
    </w:p>
    <w:p>
      <w:pPr>
        <w:pStyle w:val="Normal"/>
        <w:jc w:val="left"/>
        <w:rPr/>
      </w:pPr>
      <w:r>
        <w:rPr>
          <w:rFonts w:cs="IBM Plex Sans" w:ascii="IBM Plex Sans" w:hAnsi="IBM Plex Sans"/>
          <w:b w:val="false"/>
          <w:bCs w:val="false"/>
          <w:i w:val="false"/>
          <w:iCs w:val="false"/>
          <w:sz w:val="22"/>
          <w:szCs w:val="22"/>
          <w:u w:val="none"/>
        </w:rPr>
        <w:t>e) Memoria detallada y presupuesto de las obras a</w:t>
      </w:r>
      <w:r>
        <w:rPr>
          <w:rFonts w:cs="IBM Plex Sans" w:ascii="IBM Plex Sans" w:hAnsi="IBM Plex Sans"/>
          <w:b w:val="false"/>
          <w:bCs w:val="false"/>
          <w:i w:val="false"/>
          <w:iCs w:val="false"/>
          <w:spacing w:val="-24"/>
          <w:sz w:val="22"/>
          <w:szCs w:val="22"/>
          <w:u w:val="none"/>
        </w:rPr>
        <w:t xml:space="preserve"> </w:t>
      </w:r>
      <w:r>
        <w:rPr>
          <w:rFonts w:cs="IBM Plex Sans" w:ascii="IBM Plex Sans" w:hAnsi="IBM Plex Sans"/>
          <w:b w:val="false"/>
          <w:bCs w:val="false"/>
          <w:i w:val="false"/>
          <w:iCs w:val="false"/>
          <w:sz w:val="22"/>
          <w:szCs w:val="22"/>
          <w:u w:val="none"/>
        </w:rPr>
        <w:t>realizar.</w:t>
      </w:r>
    </w:p>
    <w:p>
      <w:pPr>
        <w:pStyle w:val="Normal"/>
        <w:jc w:val="left"/>
        <w:rPr/>
      </w:pPr>
      <w:r>
        <w:rPr>
          <w:rFonts w:cs="IBM Plex Sans" w:ascii="IBM Plex Sans" w:hAnsi="IBM Plex Sans"/>
          <w:b w:val="false"/>
          <w:bCs w:val="false"/>
          <w:i w:val="false"/>
          <w:iCs w:val="false"/>
          <w:sz w:val="22"/>
          <w:szCs w:val="22"/>
          <w:u w:val="none"/>
        </w:rPr>
        <w:t>f) Justificante del pago de las tasas municipales según ordenanza en</w:t>
      </w:r>
      <w:r>
        <w:rPr>
          <w:rFonts w:cs="IBM Plex Sans" w:ascii="IBM Plex Sans" w:hAnsi="IBM Plex Sans"/>
          <w:b w:val="false"/>
          <w:bCs w:val="false"/>
          <w:i w:val="false"/>
          <w:iCs w:val="false"/>
          <w:spacing w:val="-12"/>
          <w:sz w:val="22"/>
          <w:szCs w:val="22"/>
          <w:u w:val="none"/>
        </w:rPr>
        <w:t xml:space="preserve"> </w:t>
      </w:r>
      <w:r>
        <w:rPr>
          <w:rFonts w:cs="IBM Plex Sans" w:ascii="IBM Plex Sans" w:hAnsi="IBM Plex Sans"/>
          <w:b w:val="false"/>
          <w:bCs w:val="false"/>
          <w:i w:val="false"/>
          <w:iCs w:val="false"/>
          <w:sz w:val="22"/>
          <w:szCs w:val="22"/>
          <w:u w:val="none"/>
        </w:rPr>
        <w:t>vigor.</w:t>
      </w:r>
    </w:p>
    <w:p>
      <w:pPr>
        <w:pStyle w:val="Normal"/>
        <w:jc w:val="left"/>
        <w:rPr/>
      </w:pPr>
      <w:r>
        <w:rPr>
          <w:rFonts w:cs="IBM Plex Sans" w:ascii="IBM Plex Sans" w:hAnsi="IBM Plex Sans"/>
          <w:b w:val="false"/>
          <w:bCs w:val="false"/>
          <w:i w:val="false"/>
          <w:iCs w:val="false"/>
          <w:sz w:val="22"/>
          <w:szCs w:val="22"/>
          <w:u w:val="none"/>
        </w:rPr>
        <w:t>g) Documento justificativo de la propiedad del titular, o autorización</w:t>
      </w:r>
      <w:r>
        <w:rPr>
          <w:rFonts w:cs="IBM Plex Sans" w:ascii="IBM Plex Sans" w:hAnsi="IBM Plex Sans"/>
          <w:b w:val="false"/>
          <w:bCs w:val="false"/>
          <w:i w:val="false"/>
          <w:iCs w:val="false"/>
          <w:spacing w:val="-36"/>
          <w:sz w:val="22"/>
          <w:szCs w:val="22"/>
          <w:u w:val="none"/>
        </w:rPr>
        <w:t xml:space="preserve"> </w:t>
      </w:r>
      <w:r>
        <w:rPr>
          <w:rFonts w:cs="IBM Plex Sans" w:ascii="IBM Plex Sans" w:hAnsi="IBM Plex Sans"/>
          <w:b w:val="false"/>
          <w:bCs w:val="false"/>
          <w:i w:val="false"/>
          <w:iCs w:val="false"/>
          <w:sz w:val="22"/>
          <w:szCs w:val="22"/>
          <w:u w:val="none"/>
        </w:rPr>
        <w:t>del propietario del inmueble para realizar las obras.</w:t>
      </w:r>
    </w:p>
    <w:p>
      <w:pPr>
        <w:pStyle w:val="Normal"/>
        <w:jc w:val="left"/>
        <w:rPr/>
      </w:pPr>
      <w:r>
        <w:rPr>
          <w:rFonts w:cs="IBM Plex Sans" w:ascii="IBM Plex Sans" w:hAnsi="IBM Plex Sans"/>
          <w:b w:val="false"/>
          <w:bCs w:val="false"/>
          <w:i w:val="false"/>
          <w:iCs w:val="false"/>
          <w:sz w:val="22"/>
          <w:szCs w:val="22"/>
          <w:u w:val="none"/>
        </w:rPr>
        <w:t>h) En el caso de Sociedades fotocopia de la escritura de sociedad y</w:t>
      </w:r>
      <w:r>
        <w:rPr>
          <w:rFonts w:cs="IBM Plex Sans" w:ascii="IBM Plex Sans" w:hAnsi="IBM Plex Sans"/>
          <w:b w:val="false"/>
          <w:bCs w:val="false"/>
          <w:i w:val="false"/>
          <w:iCs w:val="false"/>
          <w:spacing w:val="-29"/>
          <w:sz w:val="22"/>
          <w:szCs w:val="22"/>
          <w:u w:val="none"/>
        </w:rPr>
        <w:t xml:space="preserve"> </w:t>
      </w:r>
      <w:r>
        <w:rPr>
          <w:rFonts w:cs="IBM Plex Sans" w:ascii="IBM Plex Sans" w:hAnsi="IBM Plex Sans"/>
          <w:b w:val="false"/>
          <w:bCs w:val="false"/>
          <w:i w:val="false"/>
          <w:iCs w:val="false"/>
          <w:sz w:val="22"/>
          <w:szCs w:val="22"/>
          <w:u w:val="none"/>
        </w:rPr>
        <w:t>C.I.F.</w:t>
      </w:r>
    </w:p>
    <w:p>
      <w:pPr>
        <w:pStyle w:val="Normal"/>
        <w:jc w:val="left"/>
        <w:rPr/>
      </w:pPr>
      <w:r>
        <w:rPr>
          <w:rFonts w:cs="IBM Plex Sans" w:ascii="IBM Plex Sans" w:hAnsi="IBM Plex Sans"/>
          <w:b w:val="false"/>
          <w:bCs w:val="false"/>
          <w:i w:val="false"/>
          <w:iCs w:val="false"/>
          <w:sz w:val="22"/>
          <w:szCs w:val="22"/>
          <w:u w:val="none"/>
        </w:rPr>
        <w:t>i) En</w:t>
      </w:r>
      <w:r>
        <w:rPr>
          <w:rFonts w:cs="IBM Plex Sans" w:ascii="IBM Plex Sans" w:hAnsi="IBM Plex Sans"/>
          <w:b w:val="false"/>
          <w:bCs w:val="false"/>
          <w:i w:val="false"/>
          <w:iCs w:val="false"/>
          <w:spacing w:val="-4"/>
          <w:sz w:val="22"/>
          <w:szCs w:val="22"/>
          <w:u w:val="none"/>
        </w:rPr>
        <w:t xml:space="preserve"> </w:t>
      </w:r>
      <w:r>
        <w:rPr>
          <w:rFonts w:cs="IBM Plex Sans" w:ascii="IBM Plex Sans" w:hAnsi="IBM Plex Sans"/>
          <w:b w:val="false"/>
          <w:bCs w:val="false"/>
          <w:i w:val="false"/>
          <w:iCs w:val="false"/>
          <w:sz w:val="22"/>
          <w:szCs w:val="22"/>
          <w:u w:val="none"/>
        </w:rPr>
        <w:t>el</w:t>
      </w:r>
      <w:r>
        <w:rPr>
          <w:rFonts w:cs="IBM Plex Sans" w:ascii="IBM Plex Sans" w:hAnsi="IBM Plex Sans"/>
          <w:b w:val="false"/>
          <w:bCs w:val="false"/>
          <w:i w:val="false"/>
          <w:iCs w:val="false"/>
          <w:spacing w:val="-4"/>
          <w:sz w:val="22"/>
          <w:szCs w:val="22"/>
          <w:u w:val="none"/>
        </w:rPr>
        <w:t xml:space="preserve"> </w:t>
      </w:r>
      <w:r>
        <w:rPr>
          <w:rFonts w:cs="IBM Plex Sans" w:ascii="IBM Plex Sans" w:hAnsi="IBM Plex Sans"/>
          <w:b w:val="false"/>
          <w:bCs w:val="false"/>
          <w:i w:val="false"/>
          <w:iCs w:val="false"/>
          <w:sz w:val="22"/>
          <w:szCs w:val="22"/>
          <w:u w:val="none"/>
        </w:rPr>
        <w:t>caso</w:t>
      </w:r>
      <w:r>
        <w:rPr>
          <w:rFonts w:cs="IBM Plex Sans" w:ascii="IBM Plex Sans" w:hAnsi="IBM Plex Sans"/>
          <w:b w:val="false"/>
          <w:bCs w:val="false"/>
          <w:i w:val="false"/>
          <w:iCs w:val="false"/>
          <w:spacing w:val="-4"/>
          <w:sz w:val="22"/>
          <w:szCs w:val="22"/>
          <w:u w:val="none"/>
        </w:rPr>
        <w:t xml:space="preserve"> </w:t>
      </w:r>
      <w:r>
        <w:rPr>
          <w:rFonts w:cs="IBM Plex Sans" w:ascii="IBM Plex Sans" w:hAnsi="IBM Plex Sans"/>
          <w:b w:val="false"/>
          <w:bCs w:val="false"/>
          <w:i w:val="false"/>
          <w:iCs w:val="false"/>
          <w:sz w:val="22"/>
          <w:szCs w:val="22"/>
          <w:u w:val="none"/>
        </w:rPr>
        <w:t>de</w:t>
      </w:r>
      <w:r>
        <w:rPr>
          <w:rFonts w:cs="IBM Plex Sans" w:ascii="IBM Plex Sans" w:hAnsi="IBM Plex Sans"/>
          <w:b w:val="false"/>
          <w:bCs w:val="false"/>
          <w:i w:val="false"/>
          <w:iCs w:val="false"/>
          <w:spacing w:val="-4"/>
          <w:sz w:val="22"/>
          <w:szCs w:val="22"/>
          <w:u w:val="none"/>
        </w:rPr>
        <w:t xml:space="preserve"> </w:t>
      </w:r>
      <w:r>
        <w:rPr>
          <w:rFonts w:cs="IBM Plex Sans" w:ascii="IBM Plex Sans" w:hAnsi="IBM Plex Sans"/>
          <w:b w:val="false"/>
          <w:bCs w:val="false"/>
          <w:i w:val="false"/>
          <w:iCs w:val="false"/>
          <w:sz w:val="22"/>
          <w:szCs w:val="22"/>
          <w:u w:val="none"/>
        </w:rPr>
        <w:t>edificios</w:t>
      </w:r>
      <w:r>
        <w:rPr>
          <w:rFonts w:cs="IBM Plex Sans" w:ascii="IBM Plex Sans" w:hAnsi="IBM Plex Sans"/>
          <w:b w:val="false"/>
          <w:bCs w:val="false"/>
          <w:i w:val="false"/>
          <w:iCs w:val="false"/>
          <w:spacing w:val="-4"/>
          <w:sz w:val="22"/>
          <w:szCs w:val="22"/>
          <w:u w:val="none"/>
        </w:rPr>
        <w:t xml:space="preserve"> </w:t>
      </w:r>
      <w:r>
        <w:rPr>
          <w:rFonts w:cs="IBM Plex Sans" w:ascii="IBM Plex Sans" w:hAnsi="IBM Plex Sans"/>
          <w:b w:val="false"/>
          <w:bCs w:val="false"/>
          <w:i w:val="false"/>
          <w:iCs w:val="false"/>
          <w:sz w:val="22"/>
          <w:szCs w:val="22"/>
          <w:u w:val="none"/>
        </w:rPr>
        <w:t>comunitarios,</w:t>
      </w:r>
      <w:r>
        <w:rPr>
          <w:rFonts w:cs="IBM Plex Sans" w:ascii="IBM Plex Sans" w:hAnsi="IBM Plex Sans"/>
          <w:b w:val="false"/>
          <w:bCs w:val="false"/>
          <w:i w:val="false"/>
          <w:iCs w:val="false"/>
          <w:spacing w:val="-4"/>
          <w:sz w:val="22"/>
          <w:szCs w:val="22"/>
          <w:u w:val="none"/>
        </w:rPr>
        <w:t xml:space="preserve"> </w:t>
      </w:r>
      <w:r>
        <w:rPr>
          <w:rFonts w:cs="IBM Plex Sans" w:ascii="IBM Plex Sans" w:hAnsi="IBM Plex Sans"/>
          <w:b w:val="false"/>
          <w:bCs w:val="false"/>
          <w:i w:val="false"/>
          <w:iCs w:val="false"/>
          <w:sz w:val="22"/>
          <w:szCs w:val="22"/>
          <w:u w:val="none"/>
        </w:rPr>
        <w:t>autorización</w:t>
      </w:r>
      <w:r>
        <w:rPr>
          <w:rFonts w:cs="IBM Plex Sans" w:ascii="IBM Plex Sans" w:hAnsi="IBM Plex Sans"/>
          <w:b w:val="false"/>
          <w:bCs w:val="false"/>
          <w:i w:val="false"/>
          <w:iCs w:val="false"/>
          <w:spacing w:val="-4"/>
          <w:sz w:val="22"/>
          <w:szCs w:val="22"/>
          <w:u w:val="none"/>
        </w:rPr>
        <w:t xml:space="preserve"> </w:t>
      </w:r>
      <w:r>
        <w:rPr>
          <w:rFonts w:cs="IBM Plex Sans" w:ascii="IBM Plex Sans" w:hAnsi="IBM Plex Sans"/>
          <w:b w:val="false"/>
          <w:bCs w:val="false"/>
          <w:i w:val="false"/>
          <w:iCs w:val="false"/>
          <w:sz w:val="22"/>
          <w:szCs w:val="22"/>
          <w:u w:val="none"/>
        </w:rPr>
        <w:t>o</w:t>
      </w:r>
      <w:r>
        <w:rPr>
          <w:rFonts w:cs="IBM Plex Sans" w:ascii="IBM Plex Sans" w:hAnsi="IBM Plex Sans"/>
          <w:b w:val="false"/>
          <w:bCs w:val="false"/>
          <w:i w:val="false"/>
          <w:iCs w:val="false"/>
          <w:spacing w:val="-4"/>
          <w:sz w:val="22"/>
          <w:szCs w:val="22"/>
          <w:u w:val="none"/>
        </w:rPr>
        <w:t xml:space="preserve"> </w:t>
      </w:r>
      <w:r>
        <w:rPr>
          <w:rFonts w:cs="IBM Plex Sans" w:ascii="IBM Plex Sans" w:hAnsi="IBM Plex Sans"/>
          <w:b w:val="false"/>
          <w:bCs w:val="false"/>
          <w:i w:val="false"/>
          <w:iCs w:val="false"/>
          <w:sz w:val="22"/>
          <w:szCs w:val="22"/>
          <w:u w:val="none"/>
        </w:rPr>
        <w:t>escrito</w:t>
      </w:r>
      <w:r>
        <w:rPr>
          <w:rFonts w:cs="IBM Plex Sans" w:ascii="IBM Plex Sans" w:hAnsi="IBM Plex Sans"/>
          <w:b w:val="false"/>
          <w:bCs w:val="false"/>
          <w:i w:val="false"/>
          <w:iCs w:val="false"/>
          <w:spacing w:val="-4"/>
          <w:sz w:val="22"/>
          <w:szCs w:val="22"/>
          <w:u w:val="none"/>
        </w:rPr>
        <w:t xml:space="preserve"> </w:t>
      </w:r>
      <w:r>
        <w:rPr>
          <w:rFonts w:cs="IBM Plex Sans" w:ascii="IBM Plex Sans" w:hAnsi="IBM Plex Sans"/>
          <w:b w:val="false"/>
          <w:bCs w:val="false"/>
          <w:i w:val="false"/>
          <w:iCs w:val="false"/>
          <w:sz w:val="22"/>
          <w:szCs w:val="22"/>
          <w:u w:val="none"/>
        </w:rPr>
        <w:t>de</w:t>
      </w:r>
      <w:r>
        <w:rPr>
          <w:rFonts w:cs="IBM Plex Sans" w:ascii="IBM Plex Sans" w:hAnsi="IBM Plex Sans"/>
          <w:b w:val="false"/>
          <w:bCs w:val="false"/>
          <w:i w:val="false"/>
          <w:iCs w:val="false"/>
          <w:spacing w:val="-4"/>
          <w:sz w:val="22"/>
          <w:szCs w:val="22"/>
          <w:u w:val="none"/>
        </w:rPr>
        <w:t xml:space="preserve"> </w:t>
      </w:r>
      <w:r>
        <w:rPr>
          <w:rFonts w:cs="IBM Plex Sans" w:ascii="IBM Plex Sans" w:hAnsi="IBM Plex Sans"/>
          <w:b w:val="false"/>
          <w:bCs w:val="false"/>
          <w:i w:val="false"/>
          <w:iCs w:val="false"/>
          <w:sz w:val="22"/>
          <w:szCs w:val="22"/>
          <w:u w:val="none"/>
        </w:rPr>
        <w:t>conformidad</w:t>
      </w:r>
      <w:r>
        <w:rPr>
          <w:rFonts w:cs="IBM Plex Sans" w:ascii="IBM Plex Sans" w:hAnsi="IBM Plex Sans"/>
          <w:b w:val="false"/>
          <w:bCs w:val="false"/>
          <w:i w:val="false"/>
          <w:iCs w:val="false"/>
          <w:spacing w:val="-4"/>
          <w:sz w:val="22"/>
          <w:szCs w:val="22"/>
          <w:u w:val="none"/>
        </w:rPr>
        <w:t xml:space="preserve"> </w:t>
      </w:r>
      <w:r>
        <w:rPr>
          <w:rFonts w:cs="IBM Plex Sans" w:ascii="IBM Plex Sans" w:hAnsi="IBM Plex Sans"/>
          <w:b w:val="false"/>
          <w:bCs w:val="false"/>
          <w:i w:val="false"/>
          <w:iCs w:val="false"/>
          <w:sz w:val="22"/>
          <w:szCs w:val="22"/>
          <w:u w:val="none"/>
        </w:rPr>
        <w:t>de la</w:t>
      </w:r>
      <w:r>
        <w:rPr>
          <w:rFonts w:cs="IBM Plex Sans" w:ascii="IBM Plex Sans" w:hAnsi="IBM Plex Sans"/>
          <w:b w:val="false"/>
          <w:bCs w:val="false"/>
          <w:i w:val="false"/>
          <w:iCs w:val="false"/>
          <w:spacing w:val="-12"/>
          <w:sz w:val="22"/>
          <w:szCs w:val="22"/>
          <w:u w:val="none"/>
        </w:rPr>
        <w:t xml:space="preserve"> </w:t>
      </w:r>
      <w:r>
        <w:rPr>
          <w:rFonts w:cs="IBM Plex Sans" w:ascii="IBM Plex Sans" w:hAnsi="IBM Plex Sans"/>
          <w:b w:val="false"/>
          <w:bCs w:val="false"/>
          <w:i w:val="false"/>
          <w:iCs w:val="false"/>
          <w:sz w:val="22"/>
          <w:szCs w:val="22"/>
          <w:u w:val="none"/>
        </w:rPr>
        <w:t>comunidad.</w:t>
      </w:r>
    </w:p>
    <w:p>
      <w:pPr>
        <w:pStyle w:val="Normal"/>
        <w:jc w:val="left"/>
        <w:rPr/>
      </w:pPr>
      <w:r>
        <w:rPr>
          <w:rFonts w:cs="IBM Plex Sans" w:ascii="IBM Plex Sans" w:hAnsi="IBM Plex Sans"/>
          <w:b w:val="false"/>
          <w:bCs w:val="false"/>
          <w:i w:val="false"/>
          <w:iCs w:val="false"/>
          <w:sz w:val="22"/>
          <w:szCs w:val="22"/>
          <w:u w:val="none"/>
        </w:rPr>
        <w:t>j) Plano de</w:t>
      </w:r>
      <w:r>
        <w:rPr>
          <w:rFonts w:cs="IBM Plex Sans" w:ascii="IBM Plex Sans" w:hAnsi="IBM Plex Sans"/>
          <w:b w:val="false"/>
          <w:bCs w:val="false"/>
          <w:i w:val="false"/>
          <w:iCs w:val="false"/>
          <w:spacing w:val="-5"/>
          <w:sz w:val="22"/>
          <w:szCs w:val="22"/>
          <w:u w:val="none"/>
        </w:rPr>
        <w:t xml:space="preserve"> </w:t>
      </w:r>
      <w:r>
        <w:rPr>
          <w:rFonts w:cs="IBM Plex Sans" w:ascii="IBM Plex Sans" w:hAnsi="IBM Plex Sans"/>
          <w:b w:val="false"/>
          <w:bCs w:val="false"/>
          <w:i w:val="false"/>
          <w:iCs w:val="false"/>
          <w:sz w:val="22"/>
          <w:szCs w:val="22"/>
          <w:u w:val="none"/>
        </w:rPr>
        <w:t>situación.</w:t>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b/>
          <w:bCs/>
          <w:i w:val="false"/>
          <w:i w:val="false"/>
          <w:iCs w:val="false"/>
          <w:sz w:val="22"/>
          <w:szCs w:val="22"/>
          <w:u w:val="none"/>
        </w:rPr>
      </w:pPr>
      <w:r>
        <w:rPr>
          <w:rFonts w:cs="IBM Plex Sans" w:ascii="IBM Plex Sans" w:hAnsi="IBM Plex Sans"/>
          <w:b/>
          <w:bCs/>
          <w:i w:val="false"/>
          <w:iCs w:val="false"/>
          <w:sz w:val="22"/>
          <w:szCs w:val="22"/>
          <w:u w:val="none"/>
        </w:rPr>
        <w:t>TÍTULO TERCERO. DE LA OCUPACIÓN DE LA VÍA PÚBLICA.</w:t>
      </w:r>
    </w:p>
    <w:p>
      <w:pPr>
        <w:pStyle w:val="Normal"/>
        <w:jc w:val="left"/>
        <w:rPr>
          <w:rFonts w:ascii="IBM Plex Sans" w:hAnsi="IBM Plex Sans" w:cs="IBM Plex Sans"/>
          <w:b/>
          <w:b/>
          <w:bCs/>
          <w:i w:val="false"/>
          <w:i w:val="false"/>
          <w:iCs w:val="false"/>
          <w:sz w:val="22"/>
          <w:szCs w:val="22"/>
          <w:u w:val="none"/>
        </w:rPr>
      </w:pPr>
      <w:r>
        <w:rPr>
          <w:rFonts w:cs="IBM Plex Sans" w:ascii="IBM Plex Sans" w:hAnsi="IBM Plex Sans"/>
          <w:b/>
          <w:bCs/>
          <w:i w:val="false"/>
          <w:iCs w:val="false"/>
          <w:sz w:val="22"/>
          <w:szCs w:val="22"/>
          <w:u w:val="none"/>
        </w:rPr>
        <w:t>ARTÍCULO 8. OCUPACIÓN DE LA VÍA PÚBLICA Y UTILIZACIÓN DE MEDIOS AUXILIARES.</w:t>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t>La autorización de la ocupación de vía pública y/o la instalación de andamios, montacargas, vallados y similares se solicitará preferentemente a la vez que la solicitud de acto comunicado o licencia de obras de trámite ordinario, según se trate. En el caso de licencias tramitadas por el procedimiento ordinario, también podrá solicitarse de forma separada pero únicamente se autorizará si previamente se ha otorgado la licencia de obras. En el caso de solicitud separada, se deberá hacer referencia en la solicitud al expediente de la licencia de obras...</w:t>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t>En el caso de que fuera necesario el cierre momentáneo de la calle, impidiendo la circulación de vehículos, para ejecutar las obras solicitadas, deberá comunicar a la Policía Local dicho cierre con la suficiente antelación.</w:t>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b/>
          <w:bCs/>
          <w:i w:val="false"/>
          <w:i w:val="false"/>
          <w:iCs w:val="false"/>
          <w:sz w:val="22"/>
          <w:szCs w:val="22"/>
          <w:u w:val="none"/>
        </w:rPr>
      </w:pPr>
      <w:r>
        <w:rPr>
          <w:rFonts w:cs="IBM Plex Sans" w:ascii="IBM Plex Sans" w:hAnsi="IBM Plex Sans"/>
          <w:b/>
          <w:bCs/>
          <w:i w:val="false"/>
          <w:iCs w:val="false"/>
          <w:sz w:val="22"/>
          <w:szCs w:val="22"/>
          <w:u w:val="none"/>
        </w:rPr>
        <w:t>DISPOSICIÓN ADICIONAL.</w:t>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t>Tanto el modelo de solicitud como la declaración responsable podrán ser modificadas por el órgano competente sin necesidad de modificar la presente ordenanza.</w:t>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drawing>
          <wp:anchor behindDoc="0" distT="0" distB="0" distL="0" distR="0" simplePos="0" locked="0" layoutInCell="1" allowOverlap="1" relativeHeight="14">
            <wp:simplePos x="0" y="0"/>
            <wp:positionH relativeFrom="column">
              <wp:posOffset>226695</wp:posOffset>
            </wp:positionH>
            <wp:positionV relativeFrom="paragraph">
              <wp:posOffset>31750</wp:posOffset>
            </wp:positionV>
            <wp:extent cx="5080000" cy="6077585"/>
            <wp:effectExtent l="0" t="0" r="0" b="0"/>
            <wp:wrapSquare wrapText="largest"/>
            <wp:docPr id="1"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descr=""/>
                    <pic:cNvPicPr>
                      <a:picLocks noChangeAspect="1" noChangeArrowheads="1"/>
                    </pic:cNvPicPr>
                  </pic:nvPicPr>
                  <pic:blipFill>
                    <a:blip r:embed="rId2"/>
                    <a:srcRect l="-16" t="-14" r="-16" b="-14"/>
                    <a:stretch>
                      <a:fillRect/>
                    </a:stretch>
                  </pic:blipFill>
                  <pic:spPr bwMode="auto">
                    <a:xfrm>
                      <a:off x="0" y="0"/>
                      <a:ext cx="5080000" cy="6077585"/>
                    </a:xfrm>
                    <a:prstGeom prst="rect">
                      <a:avLst/>
                    </a:prstGeom>
                  </pic:spPr>
                </pic:pic>
              </a:graphicData>
            </a:graphic>
          </wp:anchor>
        </w:drawing>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drawing>
          <wp:anchor behindDoc="0" distT="0" distB="0" distL="0" distR="0" simplePos="0" locked="0" layoutInCell="1" allowOverlap="1" relativeHeight="15">
            <wp:simplePos x="0" y="0"/>
            <wp:positionH relativeFrom="column">
              <wp:posOffset>-254000</wp:posOffset>
            </wp:positionH>
            <wp:positionV relativeFrom="paragraph">
              <wp:posOffset>5080</wp:posOffset>
            </wp:positionV>
            <wp:extent cx="5892165" cy="6133465"/>
            <wp:effectExtent l="0" t="0" r="0" b="0"/>
            <wp:wrapSquare wrapText="largest"/>
            <wp:docPr id="2"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 descr=""/>
                    <pic:cNvPicPr>
                      <a:picLocks noChangeAspect="1" noChangeArrowheads="1"/>
                    </pic:cNvPicPr>
                  </pic:nvPicPr>
                  <pic:blipFill>
                    <a:blip r:embed="rId3"/>
                    <a:srcRect l="-19" t="-17" r="-19" b="-17"/>
                    <a:stretch>
                      <a:fillRect/>
                    </a:stretch>
                  </pic:blipFill>
                  <pic:spPr bwMode="auto">
                    <a:xfrm>
                      <a:off x="0" y="0"/>
                      <a:ext cx="5892165" cy="6133465"/>
                    </a:xfrm>
                    <a:prstGeom prst="rect">
                      <a:avLst/>
                    </a:prstGeom>
                  </pic:spPr>
                </pic:pic>
              </a:graphicData>
            </a:graphic>
          </wp:anchor>
        </w:drawing>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drawing>
          <wp:anchor behindDoc="0" distT="0" distB="0" distL="0" distR="0" simplePos="0" locked="0" layoutInCell="1" allowOverlap="1" relativeHeight="16">
            <wp:simplePos x="0" y="0"/>
            <wp:positionH relativeFrom="column">
              <wp:posOffset>0</wp:posOffset>
            </wp:positionH>
            <wp:positionV relativeFrom="paragraph">
              <wp:posOffset>47625</wp:posOffset>
            </wp:positionV>
            <wp:extent cx="5423535" cy="6631305"/>
            <wp:effectExtent l="0" t="0" r="0" b="0"/>
            <wp:wrapSquare wrapText="largest"/>
            <wp:docPr id="3"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 descr=""/>
                    <pic:cNvPicPr>
                      <a:picLocks noChangeAspect="1" noChangeArrowheads="1"/>
                    </pic:cNvPicPr>
                  </pic:nvPicPr>
                  <pic:blipFill>
                    <a:blip r:embed="rId4"/>
                    <a:srcRect l="-16" t="-13" r="-16" b="-13"/>
                    <a:stretch>
                      <a:fillRect/>
                    </a:stretch>
                  </pic:blipFill>
                  <pic:spPr bwMode="auto">
                    <a:xfrm>
                      <a:off x="0" y="0"/>
                      <a:ext cx="5423535" cy="6631305"/>
                    </a:xfrm>
                    <a:prstGeom prst="rect">
                      <a:avLst/>
                    </a:prstGeom>
                  </pic:spPr>
                </pic:pic>
              </a:graphicData>
            </a:graphic>
          </wp:anchor>
        </w:drawing>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drawing>
          <wp:anchor behindDoc="0" distT="0" distB="0" distL="0" distR="0" simplePos="0" locked="0" layoutInCell="1" allowOverlap="1" relativeHeight="13">
            <wp:simplePos x="0" y="0"/>
            <wp:positionH relativeFrom="column">
              <wp:posOffset>-9525</wp:posOffset>
            </wp:positionH>
            <wp:positionV relativeFrom="paragraph">
              <wp:posOffset>131445</wp:posOffset>
            </wp:positionV>
            <wp:extent cx="5425440" cy="5060315"/>
            <wp:effectExtent l="0" t="0" r="0" b="0"/>
            <wp:wrapSquare wrapText="largest"/>
            <wp:docPr id="4" name="Imagen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 descr=""/>
                    <pic:cNvPicPr>
                      <a:picLocks noChangeAspect="1" noChangeArrowheads="1"/>
                    </pic:cNvPicPr>
                  </pic:nvPicPr>
                  <pic:blipFill>
                    <a:blip r:embed="rId5"/>
                    <a:srcRect l="-19" t="-20" r="-19" b="-20"/>
                    <a:stretch>
                      <a:fillRect/>
                    </a:stretch>
                  </pic:blipFill>
                  <pic:spPr bwMode="auto">
                    <a:xfrm>
                      <a:off x="0" y="0"/>
                      <a:ext cx="5425440" cy="5060315"/>
                    </a:xfrm>
                    <a:prstGeom prst="rect">
                      <a:avLst/>
                    </a:prstGeom>
                  </pic:spPr>
                </pic:pic>
              </a:graphicData>
            </a:graphic>
          </wp:anchor>
        </w:drawing>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jc w:val="left"/>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p>
      <w:pPr>
        <w:pStyle w:val="Normal"/>
        <w:rPr>
          <w:rFonts w:ascii="IBM Plex Sans" w:hAnsi="IBM Plex Sans" w:cs="IBM Plex Sans"/>
          <w:b w:val="false"/>
          <w:b w:val="false"/>
          <w:bCs w:val="false"/>
          <w:i w:val="false"/>
          <w:i w:val="false"/>
          <w:iCs w:val="false"/>
          <w:sz w:val="22"/>
          <w:szCs w:val="22"/>
          <w:u w:val="none"/>
        </w:rPr>
      </w:pPr>
      <w:r>
        <w:rPr>
          <w:rFonts w:cs="IBM Plex Sans" w:ascii="IBM Plex Sans" w:hAnsi="IBM Plex Sans"/>
          <w:b w:val="false"/>
          <w:bCs w:val="false"/>
          <w:i w:val="false"/>
          <w:iCs w:val="false"/>
          <w:sz w:val="22"/>
          <w:szCs w:val="22"/>
          <w:u w:val="none"/>
        </w:rPr>
      </w:r>
    </w:p>
    <w:sectPr>
      <w:headerReference w:type="default" r:id="rId6"/>
      <w:type w:val="nextPage"/>
      <w:pgSz w:w="11906" w:h="16838"/>
      <w:pgMar w:left="1701" w:right="1701" w:header="708" w:top="2268" w:footer="0" w:bottom="1417"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Symbol">
    <w:charset w:val="02"/>
    <w:family w:val="auto"/>
    <w:pitch w:val="default"/>
  </w:font>
  <w:font w:name="Wingdings">
    <w:charset w:val="02"/>
    <w:family w:val="auto"/>
    <w:pitch w:val="variable"/>
  </w:font>
  <w:font w:name="Courier New">
    <w:charset w:val="00"/>
    <w:family w:val="modern"/>
    <w:pitch w:val="default"/>
  </w:font>
  <w:font w:name="OpenSymbol">
    <w:altName w:val="Arial Unicode MS"/>
    <w:charset w:val="00"/>
    <w:family w:val="auto"/>
    <w:pitch w:val="default"/>
  </w:font>
  <w:font w:name="Liberation Sans">
    <w:altName w:val="Arial"/>
    <w:charset w:val="00"/>
    <w:family w:val="roman"/>
    <w:pitch w:val="variable"/>
  </w:font>
  <w:font w:name="Roboto Slab">
    <w:charset w:val="00"/>
    <w:family w:val="auto"/>
    <w:pitch w:val="variable"/>
  </w:font>
  <w:font w:name="IBM Plex Sans">
    <w:charset w:val="00"/>
    <w:family w:val="swiss"/>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rPr/>
    </w:pPr>
    <w:r>
      <w:rPr/>
      <w:drawing>
        <wp:anchor behindDoc="1" distT="0" distB="0" distL="114300" distR="115570" simplePos="0" locked="0" layoutInCell="1" allowOverlap="1" relativeHeight="12">
          <wp:simplePos x="0" y="0"/>
          <wp:positionH relativeFrom="column">
            <wp:posOffset>-1078230</wp:posOffset>
          </wp:positionH>
          <wp:positionV relativeFrom="paragraph">
            <wp:posOffset>-440690</wp:posOffset>
          </wp:positionV>
          <wp:extent cx="7539355" cy="10670540"/>
          <wp:effectExtent l="0" t="0" r="0" b="0"/>
          <wp:wrapNone/>
          <wp:docPr id="5" name="Imagen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5" descr=""/>
                  <pic:cNvPicPr>
                    <a:picLocks noChangeAspect="1" noChangeArrowheads="1"/>
                  </pic:cNvPicPr>
                </pic:nvPicPr>
                <pic:blipFill>
                  <a:blip r:embed="rId1"/>
                  <a:srcRect l="-38" t="-27" r="-38" b="-27"/>
                  <a:stretch>
                    <a:fillRect/>
                  </a:stretch>
                </pic:blipFill>
                <pic:spPr bwMode="auto">
                  <a:xfrm>
                    <a:off x="0" y="0"/>
                    <a:ext cx="7539355" cy="10670540"/>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Ttulo1"/>
      <w:numFmt w:val="none"/>
      <w:suff w:val="nothing"/>
      <w:lvlText w:val=""/>
      <w:lvlJc w:val="left"/>
      <w:pPr>
        <w:ind w:left="432" w:hanging="432"/>
      </w:pPr>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bering>
</file>

<file path=word/settings.xml><?xml version="1.0" encoding="utf-8"?>
<w:settings xmlns:w="http://schemas.openxmlformats.org/wordprocessingml/2006/main">
  <w:zoom w:percent="110"/>
  <w:defaultTabStop w:val="709"/>
  <w:autoHyphenation w:val="tru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szCs w:val="24"/>
        <w:lang w:val="es-ES" w:eastAsia="zh-CN" w:bidi="hi-IN"/>
      </w:rPr>
    </w:rPrDefault>
    <w:pPrDefault>
      <w:pPr>
        <w:suppressAutoHyphens w:val="true"/>
      </w:pPr>
    </w:pPrDefault>
  </w:docDefaults>
  <w:style w:type="paragraph" w:styleId="Normal">
    <w:name w:val="Normal"/>
    <w:qFormat/>
    <w:pPr>
      <w:widowControl w:val="false"/>
      <w:suppressAutoHyphens w:val="true"/>
      <w:kinsoku w:val="true"/>
      <w:overflowPunct w:val="true"/>
      <w:autoSpaceDE w:val="true"/>
      <w:bidi w:val="0"/>
      <w:spacing w:lineRule="auto" w:line="240" w:before="0" w:after="0"/>
      <w:jc w:val="both"/>
    </w:pPr>
    <w:rPr>
      <w:rFonts w:ascii="Calibri" w:hAnsi="Calibri" w:eastAsia="Times New Roman" w:cs="Calibri"/>
      <w:color w:val="00000A"/>
      <w:kern w:val="2"/>
      <w:sz w:val="24"/>
      <w:szCs w:val="24"/>
      <w:lang w:val="es-ES" w:eastAsia="ar-SA" w:bidi="ar-SA"/>
    </w:rPr>
  </w:style>
  <w:style w:type="paragraph" w:styleId="Ttulo1">
    <w:name w:val="Heading 1"/>
    <w:basedOn w:val="Normal"/>
    <w:next w:val="Cuerpodetexto"/>
    <w:qFormat/>
    <w:pPr>
      <w:keepNext w:val="true"/>
      <w:keepLines/>
      <w:numPr>
        <w:ilvl w:val="0"/>
        <w:numId w:val="1"/>
      </w:numPr>
      <w:spacing w:before="480" w:after="0"/>
      <w:outlineLvl w:val="0"/>
    </w:pPr>
    <w:rPr>
      <w:rFonts w:ascii="Calibri Light" w:hAnsi="Calibri Light" w:eastAsia="Calibri" w:cs="Calibri Light"/>
      <w:b/>
      <w:bCs/>
      <w:color w:val="2E74B5"/>
      <w:sz w:val="28"/>
      <w:szCs w:val="28"/>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rFonts w:ascii="Symbol" w:hAnsi="Symbol" w:cs="OpenSymbol;Arial Unicode MS"/>
    </w:rPr>
  </w:style>
  <w:style w:type="character" w:styleId="DefaultParagraphFont">
    <w:name w:val="Default Paragraph Font"/>
    <w:qFormat/>
    <w:rPr/>
  </w:style>
  <w:style w:type="character" w:styleId="Ttulo1Car">
    <w:name w:val="Título 1 Car"/>
    <w:basedOn w:val="DefaultParagraphFont"/>
    <w:qFormat/>
    <w:rPr>
      <w:rFonts w:ascii="Calibri Light" w:hAnsi="Calibri Light" w:eastAsia="Calibri" w:cs="Calibri Light"/>
      <w:b/>
      <w:bCs/>
      <w:color w:val="2E74B5"/>
      <w:kern w:val="2"/>
      <w:sz w:val="28"/>
      <w:szCs w:val="28"/>
      <w:lang w:eastAsia="ar-SA"/>
    </w:rPr>
  </w:style>
  <w:style w:type="character" w:styleId="TextoindependienteCar">
    <w:name w:val="Texto independiente Car"/>
    <w:basedOn w:val="DefaultParagraphFont"/>
    <w:qFormat/>
    <w:rPr>
      <w:rFonts w:ascii="Calibri" w:hAnsi="Calibri" w:eastAsia="Times New Roman" w:cs="Calibri"/>
      <w:kern w:val="2"/>
      <w:sz w:val="24"/>
      <w:szCs w:val="24"/>
      <w:lang w:eastAsia="ar-SA"/>
    </w:rPr>
  </w:style>
  <w:style w:type="character" w:styleId="EncabezadoCar">
    <w:name w:val="Encabezado Car"/>
    <w:basedOn w:val="DefaultParagraphFont"/>
    <w:qFormat/>
    <w:rPr>
      <w:rFonts w:ascii="Calibri" w:hAnsi="Calibri" w:eastAsia="Times New Roman" w:cs="Calibri"/>
      <w:kern w:val="2"/>
      <w:sz w:val="24"/>
      <w:szCs w:val="24"/>
      <w:lang w:eastAsia="ar-SA"/>
    </w:rPr>
  </w:style>
  <w:style w:type="character" w:styleId="PiedepginaCar">
    <w:name w:val="Pie de página Car"/>
    <w:basedOn w:val="DefaultParagraphFont"/>
    <w:qFormat/>
    <w:rPr>
      <w:rFonts w:ascii="Calibri" w:hAnsi="Calibri" w:eastAsia="Times New Roman" w:cs="Calibri"/>
      <w:kern w:val="2"/>
      <w:sz w:val="24"/>
      <w:szCs w:val="24"/>
      <w:lang w:eastAsia="ar-SA"/>
    </w:rPr>
  </w:style>
  <w:style w:type="character" w:styleId="WW8Num4z3">
    <w:name w:val="WW8Num4z3"/>
    <w:qFormat/>
    <w:rPr>
      <w:rFonts w:ascii="Symbol" w:hAnsi="Symbol" w:cs="Symbol"/>
    </w:rPr>
  </w:style>
  <w:style w:type="character" w:styleId="WW8Num4z2">
    <w:name w:val="WW8Num4z2"/>
    <w:qFormat/>
    <w:rPr>
      <w:rFonts w:ascii="Wingdings" w:hAnsi="Wingdings" w:cs="Wingdings"/>
    </w:rPr>
  </w:style>
  <w:style w:type="character" w:styleId="WW8Num4z1">
    <w:name w:val="WW8Num4z1"/>
    <w:qFormat/>
    <w:rPr>
      <w:rFonts w:ascii="Courier New" w:hAnsi="Courier New" w:cs="Courier New"/>
    </w:rPr>
  </w:style>
  <w:style w:type="character" w:styleId="WW8Num4z0">
    <w:name w:val="WW8Num4z0"/>
    <w:qFormat/>
    <w:rPr>
      <w:rFonts w:ascii="Times New Roman" w:hAnsi="Times New Roman" w:eastAsia="Times New Roman" w:cs="Times New Roman"/>
    </w:rPr>
  </w:style>
  <w:style w:type="character" w:styleId="Vietas">
    <w:name w:val="Viñetas"/>
    <w:qFormat/>
    <w:rPr>
      <w:rFonts w:ascii="OpenSymbol;Arial Unicode MS" w:hAnsi="OpenSymbol;Arial Unicode MS" w:eastAsia="OpenSymbol;Arial Unicode MS" w:cs="OpenSymbol;Arial Unicode MS"/>
    </w:rPr>
  </w:style>
  <w:style w:type="character" w:styleId="EnlacedeInternet">
    <w:name w:val="Enlace de Internet"/>
    <w:rPr>
      <w:color w:val="000080"/>
      <w:u w:val="single"/>
      <w:lang w:val="zxx" w:eastAsia="zxx" w:bidi="zxx"/>
    </w:rPr>
  </w:style>
  <w:style w:type="character" w:styleId="Smbolosdenumeracin">
    <w:name w:val="Símbolos de numeración"/>
    <w:qFormat/>
    <w:rPr/>
  </w:style>
  <w:style w:type="character" w:styleId="Zeichenformat">
    <w:name w:val="Zeichenformat"/>
    <w:qFormat/>
    <w:rPr/>
  </w:style>
  <w:style w:type="paragraph" w:styleId="Ttulo">
    <w:name w:val="Título"/>
    <w:basedOn w:val="Normal"/>
    <w:next w:val="Cuerpodetexto"/>
    <w:qFormat/>
    <w:pPr>
      <w:keepNext w:val="true"/>
      <w:spacing w:before="240" w:after="120"/>
    </w:pPr>
    <w:rPr>
      <w:rFonts w:ascii="Liberation Sans;Arial" w:hAnsi="Liberation Sans;Arial" w:eastAsia="Microsoft YaHei" w:cs="Mangal"/>
      <w:sz w:val="28"/>
      <w:szCs w:val="28"/>
    </w:rPr>
  </w:style>
  <w:style w:type="paragraph" w:styleId="Cuerpodetexto">
    <w:name w:val="Body Text"/>
    <w:basedOn w:val="Normal"/>
    <w:pPr>
      <w:spacing w:before="0" w:after="120"/>
    </w:pPr>
    <w:rPr/>
  </w:style>
  <w:style w:type="paragraph" w:styleId="Lista">
    <w:name w:val="List"/>
    <w:basedOn w:val="Cuerpodetexto"/>
    <w:pPr/>
    <w:rPr>
      <w:rFonts w:cs="Mangal"/>
    </w:rPr>
  </w:style>
  <w:style w:type="paragraph" w:styleId="Leyenda">
    <w:name w:val="Caption"/>
    <w:basedOn w:val="Normal"/>
    <w:qFormat/>
    <w:pPr>
      <w:suppressLineNumbers/>
      <w:spacing w:before="120" w:after="120"/>
    </w:pPr>
    <w:rPr>
      <w:rFonts w:cs="Mangal"/>
      <w:i/>
      <w:iCs/>
      <w:sz w:val="24"/>
      <w:szCs w:val="24"/>
    </w:rPr>
  </w:style>
  <w:style w:type="paragraph" w:styleId="Ndice">
    <w:name w:val="Índice"/>
    <w:basedOn w:val="Normal"/>
    <w:qFormat/>
    <w:pPr>
      <w:suppressLineNumbers/>
    </w:pPr>
    <w:rPr>
      <w:rFonts w:cs="Mangal"/>
    </w:rPr>
  </w:style>
  <w:style w:type="paragraph" w:styleId="Cabeceraypie">
    <w:name w:val="Cabecera y pie"/>
    <w:basedOn w:val="Normal"/>
    <w:qFormat/>
    <w:pPr>
      <w:suppressLineNumbers/>
      <w:tabs>
        <w:tab w:val="clear" w:pos="709"/>
        <w:tab w:val="center" w:pos="4819" w:leader="none"/>
        <w:tab w:val="right" w:pos="9638" w:leader="none"/>
      </w:tabs>
    </w:pPr>
    <w:rPr/>
  </w:style>
  <w:style w:type="paragraph" w:styleId="Cabecera">
    <w:name w:val="Header"/>
    <w:basedOn w:val="Normal"/>
    <w:pPr>
      <w:tabs>
        <w:tab w:val="clear" w:pos="709"/>
        <w:tab w:val="center" w:pos="4252" w:leader="none"/>
        <w:tab w:val="right" w:pos="8504" w:leader="none"/>
      </w:tabs>
    </w:pPr>
    <w:rPr/>
  </w:style>
  <w:style w:type="paragraph" w:styleId="Piedepgina">
    <w:name w:val="Footer"/>
    <w:basedOn w:val="Normal"/>
    <w:pPr>
      <w:tabs>
        <w:tab w:val="clear" w:pos="709"/>
        <w:tab w:val="center" w:pos="4252" w:leader="none"/>
        <w:tab w:val="right" w:pos="8504" w:leader="none"/>
      </w:tabs>
    </w:pPr>
    <w:rPr/>
  </w:style>
  <w:style w:type="paragraph" w:styleId="Contenidodelatabla">
    <w:name w:val="Contenido de la tabla"/>
    <w:basedOn w:val="Normal"/>
    <w:qFormat/>
    <w:pPr>
      <w:suppressLineNumbers/>
    </w:pPr>
    <w:rPr/>
  </w:style>
  <w:style w:type="paragraph" w:styleId="Ttulodelatabla">
    <w:name w:val="Título de la tabla"/>
    <w:basedOn w:val="Contenidodelatabla"/>
    <w:qFormat/>
    <w:pPr>
      <w:suppressLineNumbers/>
      <w:jc w:val="center"/>
    </w:pPr>
    <w:rPr>
      <w:b/>
      <w:bCs/>
    </w:rPr>
  </w:style>
  <w:style w:type="numbering" w:styleId="WW8Num1">
    <w:name w:val="WW8Num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header" Target="header1.xml"/><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
</Relationships>
</file>

<file path=word/_rels/header1.xml.rels><?xml version="1.0" encoding="UTF-8"?>
<Relationships xmlns="http://schemas.openxmlformats.org/package/2006/relationships"><Relationship Id="rId1" Type="http://schemas.openxmlformats.org/officeDocument/2006/relationships/image" Target="media/image5.jpeg"/>
</Relationships>
</file>

<file path=docProps/app.xml><?xml version="1.0" encoding="utf-8"?>
<Properties xmlns="http://schemas.openxmlformats.org/officeDocument/2006/extended-properties" xmlns:vt="http://schemas.openxmlformats.org/officeDocument/2006/docPropsVTypes">
  <Template/>
  <TotalTime>34</TotalTime>
  <Application>LibreOffice/6.4.3.2$Windows_X86_64 LibreOffice_project/747b5d0ebf89f41c860ec2a39efd7cb15b54f2d8</Application>
  <Pages>11</Pages>
  <Words>2555</Words>
  <Characters>14238</Characters>
  <CharactersWithSpaces>16709</CharactersWithSpaces>
  <Paragraphs>104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2020-12-16T10:55:00Z</dcterms:created>
  <dc:creator>Raul Martel Vega</dc:creator>
  <dc:description/>
  <dc:language>es-ES</dc:language>
  <cp:lastModifiedBy/>
  <dcterms:modified xsi:type="dcterms:W3CDTF">2021-02-09T14:15:36Z</dcterms:modified>
  <cp:revision>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