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media/image4.wmf" ContentType="image/x-wmf"/>
  <Override PartName="/word/media/image5.png" ContentType="image/png"/>
  <Override PartName="/word/media/image6.png" ContentType="image/png"/>
  <Override PartName="/word/media/image8.jpeg" ContentType="image/jpeg"/>
  <Override PartName="/word/media/image7.wmf" ContentType="image/x-wmf"/>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sz w:val="24"/>
          <w:szCs w:val="24"/>
          <w:u w:val="single"/>
          <w:lang w:val="es-ES" w:eastAsia="en-US" w:bidi="ar-SA"/>
        </w:rPr>
        <w:t xml:space="preserve">SESIÓN </w:t>
      </w:r>
      <w:r>
        <w:rPr>
          <w:rFonts w:cs="Times New Roman" w:ascii="Verdana" w:hAnsi="Verdana"/>
          <w:b/>
          <w:sz w:val="24"/>
          <w:szCs w:val="24"/>
          <w:u w:val="single"/>
          <w:lang w:eastAsia="en-US" w:bidi="ar-SA"/>
        </w:rPr>
        <w:t>O</w:t>
      </w:r>
      <w:r>
        <w:rPr>
          <w:rFonts w:cs="Times New Roman" w:ascii="Verdana" w:hAnsi="Verdana"/>
          <w:b/>
          <w:sz w:val="24"/>
          <w:szCs w:val="24"/>
          <w:u w:val="single"/>
          <w:lang w:val="es-ES" w:eastAsia="en-US" w:bidi="ar-SA"/>
        </w:rPr>
        <w:t xml:space="preserve">RDINARIA DEL PLENO CELEBRADA EL DÍA </w:t>
      </w:r>
      <w:r>
        <w:rPr>
          <w:rFonts w:cs="Times New Roman" w:ascii="Verdana" w:hAnsi="Verdana"/>
          <w:b/>
          <w:sz w:val="24"/>
          <w:szCs w:val="24"/>
          <w:u w:val="single"/>
          <w:lang w:eastAsia="en-US" w:bidi="ar-SA"/>
        </w:rPr>
        <w:t>VEINTISÉIS DE ABRIL</w:t>
      </w:r>
      <w:r>
        <w:rPr>
          <w:rFonts w:cs="Times New Roman" w:ascii="Verdana" w:hAnsi="Verdana"/>
          <w:b/>
          <w:sz w:val="24"/>
          <w:szCs w:val="24"/>
          <w:u w:val="single"/>
          <w:lang w:val="es-ES" w:eastAsia="en-US" w:bidi="ar-SA"/>
        </w:rPr>
        <w:t xml:space="preserve"> DE DOS MIL VEINT</w:t>
      </w:r>
      <w:r>
        <w:rPr>
          <w:rFonts w:cs="Times New Roman" w:ascii="Verdana" w:hAnsi="Verdana"/>
          <w:b/>
          <w:sz w:val="24"/>
          <w:szCs w:val="24"/>
          <w:u w:val="single"/>
          <w:lang w:eastAsia="en-US" w:bidi="ar-SA"/>
        </w:rPr>
        <w:t>IUNO</w:t>
      </w:r>
      <w:r>
        <w:rPr>
          <w:rFonts w:cs="Times New Roman" w:ascii="Verdana" w:hAnsi="Verdana"/>
          <w:b/>
          <w:sz w:val="24"/>
          <w:szCs w:val="24"/>
          <w:u w:val="single"/>
          <w:lang w:val="es-ES" w:eastAsia="en-US" w:bidi="ar-SA"/>
        </w:rPr>
        <w:t xml:space="preserve">, Nº </w:t>
      </w:r>
      <w:r>
        <w:rPr>
          <w:rFonts w:cs="Times New Roman" w:ascii="Verdana" w:hAnsi="Verdana"/>
          <w:b/>
          <w:sz w:val="24"/>
          <w:szCs w:val="24"/>
          <w:u w:val="single"/>
          <w:lang w:eastAsia="en-US" w:bidi="ar-SA"/>
        </w:rPr>
        <w:t>4</w:t>
      </w:r>
      <w:r>
        <w:rPr>
          <w:rFonts w:cs="Times New Roman" w:ascii="Verdana" w:hAnsi="Verdana"/>
          <w:b/>
          <w:sz w:val="24"/>
          <w:szCs w:val="24"/>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FF0000"/>
          <w:u w:val="single"/>
          <w:lang w:eastAsia="en-US" w:bidi="ar-SA"/>
        </w:rPr>
      </w:pPr>
      <w:r>
        <w:rPr>
          <w:rFonts w:eastAsia="Times New Roman" w:cs="Times New Roman" w:ascii="Verdana" w:hAnsi="Verdana"/>
          <w:b/>
          <w:bCs/>
          <w:color w:val="FF0000"/>
          <w:u w:val="single"/>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w:t>
      </w:r>
      <w:r>
        <w:rPr>
          <w:rFonts w:eastAsia="Times New Roman" w:cs="Times New Roman" w:ascii="Verdana" w:hAnsi="Verdana"/>
          <w:bCs/>
          <w:lang w:bidi="ar-SA"/>
        </w:rPr>
        <w:t>Á</w:t>
      </w:r>
      <w:r>
        <w:rPr>
          <w:rFonts w:eastAsia="Times New Roman" w:cs="Times New Roman" w:ascii="Verdana" w:hAnsi="Verdana"/>
          <w:bCs/>
          <w:lang w:bidi="ar-SA"/>
        </w:rPr>
        <w:t>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MARIA ISABEL </w:t>
      </w:r>
      <w:r>
        <w:rPr>
          <w:rFonts w:eastAsia="Times New Roman" w:cs="Times New Roman" w:ascii="Verdana" w:hAnsi="Verdana"/>
          <w:bCs/>
          <w:lang w:bidi="ar-SA"/>
        </w:rPr>
        <w:t>SUÁREZ</w:t>
      </w:r>
      <w:r>
        <w:rPr>
          <w:rFonts w:eastAsia="Times New Roman" w:cs="Times New Roman" w:ascii="Verdana" w:hAnsi="Verdana"/>
          <w:bCs/>
          <w:lang w:bidi="ar-SA"/>
        </w:rPr>
        <w:t xml:space="preserve">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RAÚL</w:t>
      </w:r>
      <w:r>
        <w:rPr>
          <w:rFonts w:eastAsia="Times New Roman" w:cs="Times New Roman" w:ascii="Verdana" w:hAnsi="Verdana"/>
          <w:bCs/>
          <w:lang w:bidi="ar-SA"/>
        </w:rPr>
        <w:t xml:space="preserve">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w:t>
      </w:r>
      <w:r>
        <w:rPr>
          <w:rFonts w:eastAsia="Times New Roman" w:cs="Times New Roman" w:ascii="Verdana" w:hAnsi="Verdana"/>
          <w:bCs/>
          <w:lang w:bidi="ar-SA"/>
        </w:rPr>
        <w:t>É</w:t>
      </w:r>
      <w:r>
        <w:rPr>
          <w:rFonts w:eastAsia="Times New Roman" w:cs="Times New Roman" w:ascii="Verdana" w:hAnsi="Verdana"/>
          <w:bCs/>
          <w:lang w:bidi="ar-SA"/>
        </w:rPr>
        <w:t xml:space="preserve">VEZ </w:t>
      </w:r>
      <w:r>
        <w:rPr>
          <w:rFonts w:eastAsia="Times New Roman" w:cs="Times New Roman" w:ascii="Verdana" w:hAnsi="Verdana"/>
          <w:bCs/>
          <w:lang w:bidi="ar-SA"/>
        </w:rPr>
        <w:t>MONZÓN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AGUSTÍN</w:t>
      </w:r>
      <w:r>
        <w:rPr>
          <w:rFonts w:eastAsia="Times New Roman" w:cs="Times New Roman" w:ascii="Verdana" w:hAnsi="Verdana"/>
          <w:bCs/>
          <w:lang w:bidi="ar-SA"/>
        </w:rPr>
        <w:t xml:space="preserve"> TRUJILLO </w:t>
      </w:r>
      <w:r>
        <w:rPr>
          <w:rFonts w:eastAsia="Times New Roman" w:cs="Times New Roman" w:ascii="Verdana" w:hAnsi="Verdana"/>
          <w:bCs/>
          <w:lang w:bidi="ar-SA"/>
        </w:rPr>
        <w:t>RODRÍGUEZ</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 xml:space="preserve">FRANCISCO MANUEL </w:t>
      </w:r>
      <w:r>
        <w:rPr>
          <w:rFonts w:eastAsia="Times New Roman" w:cs="Arial" w:ascii="Verdana" w:hAnsi="Verdana"/>
          <w:bCs/>
          <w:lang w:bidi="ar-SA"/>
        </w:rPr>
        <w:t>GONZÁLEZ</w:t>
      </w:r>
      <w:r>
        <w:rPr>
          <w:rFonts w:eastAsia="Times New Roman" w:cs="Arial" w:ascii="Verdana" w:hAnsi="Verdana"/>
          <w:bCs/>
          <w:lang w:bidi="ar-SA"/>
        </w:rPr>
        <w:t xml:space="preserve">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AGUSTÍN</w:t>
      </w:r>
      <w:r>
        <w:rPr>
          <w:rFonts w:eastAsia="Times New Roman" w:cs="Times New Roman" w:ascii="Verdana" w:hAnsi="Verdana"/>
          <w:bCs/>
          <w:lang w:bidi="ar-SA"/>
        </w:rPr>
        <w:t xml:space="preserve">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JÉSSICA</w:t>
      </w:r>
      <w:r>
        <w:rPr>
          <w:rFonts w:eastAsia="Times New Roman" w:cs="Times New Roman" w:ascii="Verdana" w:hAnsi="Verdana"/>
          <w:bCs/>
          <w:lang w:bidi="ar-SA"/>
        </w:rPr>
        <w:t xml:space="preserve">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w:t>
      </w:r>
      <w:r>
        <w:rPr>
          <w:rFonts w:eastAsia="Times New Roman" w:cs="Times New Roman" w:ascii="Verdana" w:hAnsi="Verdana"/>
          <w:bCs/>
          <w:lang w:bidi="ar-SA"/>
        </w:rPr>
        <w:t>Í</w:t>
      </w:r>
      <w:r>
        <w:rPr>
          <w:rFonts w:eastAsia="Times New Roman" w:cs="Times New Roman" w:ascii="Verdana" w:hAnsi="Verdana"/>
          <w:bCs/>
          <w:lang w:bidi="ar-SA"/>
        </w:rPr>
        <w:t xml:space="preserve">N ALBERTO </w:t>
      </w:r>
      <w:r>
        <w:rPr>
          <w:rFonts w:eastAsia="Times New Roman" w:cs="Times New Roman" w:ascii="Verdana" w:hAnsi="Verdana"/>
          <w:bCs/>
          <w:lang w:bidi="ar-SA"/>
        </w:rPr>
        <w:t>GONZÁLEZ</w:t>
      </w:r>
      <w:r>
        <w:rPr>
          <w:rFonts w:eastAsia="Times New Roman" w:cs="Times New Roman" w:ascii="Verdana" w:hAnsi="Verdana"/>
          <w:bCs/>
          <w:lang w:bidi="ar-SA"/>
        </w:rPr>
        <w:t xml:space="preserve"> </w:t>
      </w:r>
      <w:r>
        <w:rPr>
          <w:rFonts w:eastAsia="Times New Roman" w:cs="Times New Roman" w:ascii="Verdana" w:hAnsi="Verdana"/>
          <w:bCs/>
          <w:lang w:bidi="ar-SA"/>
        </w:rPr>
        <w:t>RODRÍGUEZ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Á</w:t>
      </w:r>
      <w:r>
        <w:rPr>
          <w:rFonts w:eastAsia="Times New Roman" w:cs="Times New Roman" w:ascii="Verdana" w:hAnsi="Verdana"/>
          <w:bCs/>
          <w:lang w:bidi="ar-SA"/>
        </w:rPr>
        <w:t xml:space="preserve">GUEDA </w:t>
      </w:r>
      <w:r>
        <w:rPr>
          <w:rFonts w:eastAsia="Times New Roman" w:cs="Times New Roman" w:ascii="Verdana" w:hAnsi="Verdana"/>
          <w:bCs/>
          <w:lang w:bidi="ar-SA"/>
        </w:rPr>
        <w:t>SUÁREZ</w:t>
      </w:r>
      <w:r>
        <w:rPr>
          <w:rFonts w:eastAsia="Times New Roman" w:cs="Times New Roman" w:ascii="Verdana" w:hAnsi="Verdana"/>
          <w:bCs/>
          <w:lang w:bidi="ar-SA"/>
        </w:rPr>
        <w:t xml:space="preserve"> </w:t>
      </w:r>
      <w:r>
        <w:rPr>
          <w:rFonts w:eastAsia="Times New Roman" w:cs="Times New Roman" w:ascii="Verdana" w:hAnsi="Verdana"/>
          <w:bCs/>
          <w:lang w:bidi="ar-SA"/>
        </w:rPr>
        <w:t>PÉREZ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MARIO GUSTAVO MELIÁN </w:t>
      </w:r>
      <w:r>
        <w:rPr>
          <w:rFonts w:eastAsia="Times New Roman" w:cs="Times New Roman" w:ascii="Verdana" w:hAnsi="Verdana"/>
          <w:bCs/>
          <w:lang w:bidi="ar-SA"/>
        </w:rPr>
        <w:t>HERNÁNDEZ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JOAQUÍN</w:t>
      </w:r>
      <w:r>
        <w:rPr>
          <w:rFonts w:eastAsia="Times New Roman" w:cs="Times New Roman" w:ascii="Verdana" w:hAnsi="Verdana"/>
          <w:bCs/>
          <w:lang w:bidi="ar-SA"/>
        </w:rPr>
        <w:t xml:space="preserve"> </w:t>
      </w:r>
      <w:r>
        <w:rPr>
          <w:rFonts w:eastAsia="Times New Roman" w:cs="Times New Roman" w:ascii="Verdana" w:hAnsi="Verdana"/>
          <w:bCs/>
          <w:lang w:bidi="ar-SA"/>
        </w:rPr>
        <w:t>LÓPEZ</w:t>
      </w:r>
      <w:r>
        <w:rPr>
          <w:rFonts w:eastAsia="Times New Roman" w:cs="Times New Roman" w:ascii="Verdana" w:hAnsi="Verdana"/>
          <w:bCs/>
          <w:lang w:bidi="ar-SA"/>
        </w:rPr>
        <w:t xml:space="preserve">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SR. INTERVENTOR:</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 xml:space="preserve">MARIA FABIOLA </w:t>
      </w:r>
      <w:r>
        <w:rPr>
          <w:rFonts w:eastAsia="Times New Roman" w:cs="Times New Roman" w:ascii="Verdana" w:hAnsi="Verdana"/>
          <w:bCs/>
          <w:lang w:bidi="ar-SA"/>
        </w:rPr>
        <w:t>MARTÍNEZ</w:t>
      </w:r>
      <w:r>
        <w:rPr>
          <w:rFonts w:eastAsia="Times New Roman" w:cs="Times New Roman" w:ascii="Verdana" w:hAnsi="Verdana"/>
          <w:bCs/>
          <w:lang w:bidi="ar-SA"/>
        </w:rPr>
        <w:t xml:space="preserve"> QUINTANA</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jc w:val="left"/>
        <w:rPr>
          <w:rFonts w:ascii="Verdana" w:hAnsi="Verdana" w:eastAsia="Times New Roman" w:cs="Arial"/>
          <w:b/>
          <w:b/>
          <w:bCs/>
          <w:color w:val="FF0000"/>
          <w:lang w:bidi="ar-SA"/>
        </w:rPr>
      </w:pPr>
      <w:r>
        <w:rPr>
          <w:rFonts w:eastAsia="Times New Roman" w:cs="Arial" w:ascii="Verdana" w:hAnsi="Verdana"/>
          <w:b/>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left="0" w:right="0"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veintiséis de abril de dos mil veintiuno</w:t>
      </w:r>
      <w:r>
        <w:rPr>
          <w:rFonts w:cs="Times New Roman" w:ascii="Verdana" w:hAnsi="Verdana"/>
          <w:lang w:val="es-ES" w:eastAsia="en-US" w:bidi="ar-SA"/>
        </w:rPr>
        <w:t xml:space="preserve">, se reunieron en el Salón de sesiones de la Casa Consistorial los señores relacionados anteriormente, al objeto de celebrar sesión ordinaria del Pleno corporativo. </w:t>
      </w:r>
    </w:p>
    <w:p>
      <w:pPr>
        <w:pStyle w:val="Normal"/>
        <w:widowControl/>
        <w:tabs>
          <w:tab w:val="clear" w:pos="709"/>
          <w:tab w:val="left" w:pos="8040" w:leader="none"/>
        </w:tabs>
        <w:autoSpaceDE w:val="true"/>
        <w:ind w:left="0" w:right="0"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8040" w:leader="none"/>
        </w:tabs>
        <w:autoSpaceDE w:val="true"/>
        <w:ind w:left="0" w:right="0" w:firstLine="851"/>
        <w:jc w:val="left"/>
        <w:rPr/>
      </w:pPr>
      <w:r>
        <w:rPr>
          <w:rFonts w:cs="Times New Roman" w:ascii="Verdana" w:hAnsi="Verdana"/>
          <w:b/>
          <w:lang w:eastAsia="en-US" w:bidi="ar-SA"/>
        </w:rPr>
        <w:t xml:space="preserve">Este pleno </w:t>
      </w:r>
      <w:r>
        <w:rPr>
          <w:rFonts w:cs="Times New Roman" w:ascii="Verdana" w:hAnsi="Verdana"/>
          <w:b/>
          <w:u w:val="single"/>
          <w:lang w:eastAsia="en-US" w:bidi="ar-SA"/>
        </w:rPr>
        <w:t>se celebra de forma telemática</w:t>
      </w:r>
      <w:r>
        <w:rPr>
          <w:rFonts w:cs="Times New Roman" w:ascii="Verdana" w:hAnsi="Verdana"/>
          <w:b/>
          <w:lang w:eastAsia="en-US" w:bidi="ar-SA"/>
        </w:rPr>
        <w:t>, dado el nivel de alerta 3, de la isla de Gran Canaria, según informe del Director General de Salud Pública, del Gobierno de Canarias, de fecha 16 de enero de 2021</w:t>
      </w:r>
      <w:r>
        <w:rPr>
          <w:rFonts w:cs="Times New Roman" w:ascii="Verdana" w:hAnsi="Verdana"/>
          <w:lang w:eastAsia="en-US" w:bidi="ar-SA"/>
        </w:rPr>
        <w:t>.</w:t>
      </w:r>
    </w:p>
    <w:p>
      <w:pPr>
        <w:pStyle w:val="Normal"/>
        <w:widowControl/>
        <w:tabs>
          <w:tab w:val="clear" w:pos="709"/>
          <w:tab w:val="left" w:pos="8040" w:leader="none"/>
        </w:tabs>
        <w:autoSpaceDE w:val="true"/>
        <w:ind w:left="0" w:right="0"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left="0" w:right="0"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2021/5212Y. LECTURA Y APROBACIÓN, SI PROCEDE, DEL BORRADOR DE ACTA DE LA SESIÓN ANTERIOR, CELEBRADA EL DÍA 29 DE MARZO DE 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Dada cuenta por el Sr. Alcalde del borrador de acta de la sesión anterior, celebrada el día 29 de marzo de 2021, el mismo es aprobado en sus literales términos, por unanimidad de los veinte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VIVIENDA Y PROMOCIÓN DEL SUELO.</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NÚMERO:2021/5231W. SUELO DESTINADO A LA CONSTRUCCIÓN DE VIVIENDAS PROTEGIDAS.-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da cuenta al Pleno, que en la Comisión Informativa de Desarrollo Urbano y Económico sostenible, celebrada el 19 de abril de 2021, se trató el tema relacionado con el suelo destinado a la construcción de viviendas protegidas.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la propuesta de la Concejala del área, de fecha 18 de abril de 2021, como sigue: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rFonts w:ascii="Verdana-Bold" w:hAnsi="Verdana-Bold" w:cs="Verdana-Bold"/>
          <w:b/>
          <w:b/>
          <w:bCs/>
          <w:lang w:bidi="ar-SA"/>
        </w:rPr>
      </w:pPr>
      <w:r>
        <w:rPr>
          <w:rFonts w:cs="Verdana-Bold" w:ascii="Verdana-Bold" w:hAnsi="Verdana-Bold"/>
          <w:b/>
          <w:bCs/>
          <w:lang w:bidi="ar-SA"/>
        </w:rPr>
        <w:t>“</w:t>
      </w:r>
      <w:r>
        <w:rPr>
          <w:rFonts w:cs="Verdana-Bold" w:ascii="Verdana-Bold" w:hAnsi="Verdana-Bold"/>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
          <w:lang w:bidi="ar-SA"/>
        </w:rPr>
      </w:pPr>
      <w:r>
        <w:rPr>
          <w:rFonts w:cs="Verdana" w:ascii="Verdana" w:hAnsi="Verdana"/>
          <w:lang w:bidi="ar-SA"/>
        </w:rPr>
        <w:t>Entre los años 1999 y 2021 desde el Ayuntamiento de Agüimes se ha impulsado, poniendo en marcha distintos mecanismos, que la normativa lo permite para la construcción de 725 viviendas sujetas a algún régimen de protección que marca la ley, y todo ello a pesar de la grave crisis económica que surgió en este país, sin contar con los numerosísimos expedientes de solicitud de subvenciones para la construcción de vivienda que se han tramitado desde la Oficina Municipal de Vivienda ni las promociones de viviendas de protección oficial desarrolladas por constructoras privadas.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Para entender en su justa dimensión la política de vivienda que se ha desarrollado en este Ayuntamiento hay que destacar que nunca se han monetarizado los aprovechamientos que en desarrollo de sectores de uso residencial le correspondieron. Además el suelo que ha adquirido el Ayuntamiento con los sucesivos desarrollos urbanísticos se ha destinado básicamente a la construcción de viviendas o a la obtención de suelo urbanizable para el desarrollo de sectores de uso residencial, poniendo suelo a la venta al mejor precio del mercado.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xml:space="preserve">En relación a la situación actual de demanda que existe y sus previsiones, y según se hace saber que siempre y cuando la coyuntura socio-económica acompañe, se deberá estimar el desarrollo de suelo protegido para la demanda que surja en los próximos diez, quince y veinte años, suelo ya previsto en el nuevo Plan General de Ordenación puesto que éste prevé varios sectores a desarrollar, cubriendo con creces la demandas futuras, para suelo protegido en sus distintas índoles y tipología que marca la ley.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Plan General de Ordenación de este municipio aprobado por la Comisión de Ordenación del Territorio y Medio Ambiente de Canarias en sesiones de fecha 3 de agosto y 26 de octubre de 2017, considera la vivienda como una necesidad social reflejándose así en la calificación de la mayoría de los suelos urbanizables.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xml:space="preserve">En todos estos sectores de suelo se adscribe el porcentaje correspondiente establecido por ley, de los aprovechamientos a la construcción de viviendas sujetas a algún régimen de protección, cumpliéndose también con el objetivo de evitar la segregación social mediante la dispersión de dicho tipo de viviendas.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De esta manera, existen en los Suelos Urbanizables Sectorizados Ordenados un total de 106.489 m2 para que se puedan albergar viviendas, por lo que cumple lo indicado en el artículo 137.1B.d) de la LSENPC, y que determina que:</w:t>
      </w:r>
    </w:p>
    <w:p>
      <w:pPr>
        <w:pStyle w:val="Normal"/>
        <w:widowControl/>
        <w:jc w:val="left"/>
        <w:rPr>
          <w:rFonts w:ascii="Verdana-Italic" w:hAnsi="Verdana-Italic" w:cs="Verdana-Italic"/>
          <w:lang w:bidi="ar-SA"/>
        </w:rPr>
      </w:pPr>
      <w:r>
        <w:rPr>
          <w:rFonts w:cs="Verdana-Italic" w:ascii="Verdana-Italic" w:hAnsi="Verdana-Italic"/>
          <w:i/>
          <w:iCs/>
          <w:lang w:bidi="ar-SA"/>
        </w:rPr>
        <w:t>“</w:t>
      </w:r>
      <w:r>
        <w:rPr>
          <w:rFonts w:cs="Verdana-Italic" w:ascii="Verdana-Italic" w:hAnsi="Verdana-Italic"/>
          <w:i/>
          <w:iCs/>
          <w:lang w:bidi="ar-SA"/>
        </w:rPr>
        <w:t>d) En el conjunto del suelo urbano no consolidado y de los suelos</w:t>
      </w:r>
    </w:p>
    <w:p>
      <w:pPr>
        <w:pStyle w:val="Normal"/>
        <w:widowControl/>
        <w:jc w:val="left"/>
        <w:rPr>
          <w:rFonts w:ascii="Verdana-Italic" w:hAnsi="Verdana-Italic" w:cs="Verdana-Italic"/>
          <w:i/>
          <w:i/>
          <w:iCs/>
          <w:lang w:bidi="ar-SA"/>
        </w:rPr>
      </w:pPr>
      <w:r>
        <w:rPr>
          <w:rFonts w:cs="Verdana-Italic" w:ascii="Verdana-Italic" w:hAnsi="Verdana-Italic"/>
          <w:i/>
          <w:iCs/>
          <w:lang w:bidi="ar-SA"/>
        </w:rPr>
        <w:t>urbanizables de nueva creación con destino residencial se deberá adscribir, al menos, el 30% de la edificabilidad residencial a la construcción de viviendas protegidas.”</w:t>
      </w:r>
    </w:p>
    <w:p>
      <w:pPr>
        <w:pStyle w:val="Normal"/>
        <w:widowControl/>
        <w:jc w:val="left"/>
        <w:rPr>
          <w:rFonts w:ascii="Verdana-Italic" w:hAnsi="Verdana-Italic" w:cs="Verdana-Italic"/>
          <w:i/>
          <w:i/>
          <w:iCs/>
          <w:lang w:bidi="ar-SA"/>
        </w:rPr>
      </w:pPr>
      <w:r>
        <w:rPr>
          <w:rFonts w:cs="Verdana-Italic" w:ascii="Verdana-Italic" w:hAnsi="Verdana-Italic"/>
          <w:i/>
          <w:iCs/>
          <w:lang w:bidi="ar-SA"/>
        </w:rPr>
      </w:r>
    </w:p>
    <w:p>
      <w:pPr>
        <w:pStyle w:val="Normal"/>
        <w:widowControl/>
        <w:jc w:val="left"/>
        <w:rPr>
          <w:rFonts w:ascii="Verdana" w:hAnsi="Verdana" w:cs="Verdana"/>
          <w:lang w:bidi="ar-SA"/>
        </w:rPr>
      </w:pPr>
      <w:r>
        <w:rPr>
          <w:rFonts w:cs="Verdana" w:ascii="Verdana" w:hAnsi="Verdana"/>
          <w:lang w:bidi="ar-SA"/>
        </w:rPr>
        <w:t xml:space="preserve">De esta manera, del total de 3.034 viviendas máximas que pueden albergar los suelos urbanos no consolidaos y los urbanizables sectorizados ordenados previstos, destinándose por imperativo legal el 30% de los aprovechamientos a la construcción de viviendas sujetas a algún tipo de protección, al menos existirán en Agüimes aprovechamientos para la construcción de, como mínimo, 897 viviendas protegidas.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el municipio de Agüimes, los Sectores de Suelo Urbanizable y los Ámbitos de Suelo Urbano No Consolidado se han desarrollado urbanísticamente respetando obviamente los porcentajes previstos en la legislación para destinarlos a viviendas sometidas a algún régimen de protección pública y sin que se haya producido la monetarización del 10% de los aprovechamientos urbanísticos que le corresponden en concepto de participación de la comunidad en las plusvalías; es más, gran cantidad de este suelo ha sido cedido precisamente para destinarlo a viviendas de régimen de protección pública (por ejemplo: Sector de Suelo Urbanizable P-2 Residencial en el Cruce de Arinaga cedido al Instituto Canario de la Vivienda; Sector de Suelo Urbanizable en La Goleta cedido al Instituto Canario de la Vivienda, Sector de Suelo Urbanizable en Montaña Los Vélez cedido al Instituto Canario de la Vivienda), lo cual hace evidente que se ha superado con creces el porcentaje de viviendas protegidas que marcaba la legislación.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informe técnico – jurídico que consta en este expediente concluye que la política de vivienda del municipio de Agüimes, ha conseguido superar el porcentaje de suelo destinado a viviendas sometidas a regímenes de protección pública al que legalmente está obligada, sin necesidad de acudir a una nuevas reclasificación de suelos urbanos o urbanizables para obtener suelo destinado para viviendas protegidas, salvaguardando los porcentajes que los aprovechamientos destinaban a dichas vivienda, destinando gran parte del suelo adquirido en virtud del 10% de participación de la Comunidad en las plusvalías mediante la cesión a otras Administraciones Públicas para destinarlo a suelo y viviendas protegidos, y la no monetarización del 10% en ningún Sector de Suelo Urbanizable o Ámbito de Suelo Urbano No Consolidado, ha logrado satisfacer la demanda de suelo y vivienda en este Municipio sin acudir a la nuevas reclasificaciones.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más, este mes se ha suscrito la compraventa de una parcela a la entidad Gestur, Las Palmas, SL, en Liquidación, de 8.192,76 metros en el SUSO-R-1 Las Crucitas con la finalidad de impulsar el desarrollo de dicho sector, para asegurar su viabilidad, defender a los pequeños propietarios de terreno, vecinos del municipio, asegurando que este Ayuntamiento pueda impulsar y poner a disposición de los vecinos y vecinas de Agüimes, como así hiciera con el Sector 2-3 La Charca, y poner a disposición de los ciudadanos solares a precios asequibles, ejerciendo así las competencias atribuidas por la Ley 2/2003, de 30 de enero, de Vivienda de Canarias, modificada por la Ley 1/2006, de 7 de febrero, y cumpliendo las exigencias que en materia de vivienda se exige en ella a las administraciones locales</w:t>
      </w:r>
      <w:r>
        <w:rPr>
          <w:rFonts w:cs="Verdana-Italic" w:ascii="Verdana-Italic" w:hAnsi="Verdana-Italic"/>
          <w:i/>
          <w:iCs/>
          <w:lang w:bidi="ar-SA"/>
        </w:rPr>
        <w:t>.</w:t>
      </w:r>
    </w:p>
    <w:p>
      <w:pPr>
        <w:pStyle w:val="Normal"/>
        <w:widowControl/>
        <w:jc w:val="left"/>
        <w:rPr>
          <w:rFonts w:ascii="Verdana-Italic" w:hAnsi="Verdana-Italic" w:cs="Verdana-Italic"/>
          <w:i/>
          <w:i/>
          <w:iCs/>
          <w:lang w:bidi="ar-SA"/>
        </w:rPr>
      </w:pPr>
      <w:r>
        <w:rPr>
          <w:rFonts w:cs="Verdana-Italic" w:ascii="Verdana-Italic" w:hAnsi="Verdana-Italic"/>
          <w:i/>
          <w:iCs/>
          <w:lang w:bidi="ar-SA"/>
        </w:rPr>
      </w:r>
    </w:p>
    <w:p>
      <w:pPr>
        <w:pStyle w:val="Normal"/>
        <w:widowControl/>
        <w:jc w:val="left"/>
        <w:rPr>
          <w:rFonts w:ascii="Verdana" w:hAnsi="Verdana" w:cs="Verdana"/>
          <w:lang w:bidi="ar-SA"/>
        </w:rPr>
      </w:pPr>
      <w:r>
        <w:rPr>
          <w:rFonts w:cs="Verdana" w:ascii="Verdana" w:hAnsi="Verdana"/>
          <w:lang w:bidi="ar-SA"/>
        </w:rPr>
        <w:t>A la vista de lo expuesto, y teniendo en cuenta, la trayectoria seguida en materia de vivienda en este Municipio, la salvaguarda a través del Plan General de Ordenación de Agüimes, del cumplimiento de los estándares legalmente exigidos en cuanto al porcentaje de viviendas protegidas en los aprovechamientos de los sectores de Suelo Urbanizable y de los ámbitos de Suelo Urbano No Consolidado, y sobre todo la combinación de ambos factores permiten afirmar que en este Municipio están cubiertas las necesidades de vivienda protegida en su territorio competencial, en conformidad con el artículo 14 de la LSENPC, y, en consecuencia, los bienes integrantes del patrimonio público del suelo podrán ser destinados alternativamente a cualquiera de los siguientes fines previstos en el artículo 299.2 de la LSENPC.</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Entiende este Ayuntamiento que precisamente esta excepcionalidad está prevista para amparar a aquellos municipios que </w:t>
      </w:r>
      <w:r>
        <w:rPr>
          <w:rFonts w:cs="Verdana-Bold" w:ascii="Verdana-Bold" w:hAnsi="Verdana-Bold"/>
          <w:b/>
          <w:bCs/>
          <w:lang w:bidi="ar-SA"/>
        </w:rPr>
        <w:t xml:space="preserve">siempre han cumplido con las previsiones legalmente establecidas para destinar su suelo a vivienda y suelo protegidos, </w:t>
      </w:r>
      <w:r>
        <w:rPr>
          <w:rFonts w:cs="Verdana" w:ascii="Verdana" w:hAnsi="Verdana"/>
          <w:lang w:bidi="ar-SA"/>
        </w:rPr>
        <w:t>y que por tanto no deben ser asimilados a aquellos que no lo han hecho, bajo riesgo de producirse situaciones de desigualdad amparadas en la uniformidad en el tratamiento.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virtud de lo expuesto al </w:t>
      </w:r>
      <w:r>
        <w:rPr>
          <w:rFonts w:cs="Verdana-Bold" w:ascii="Verdana-Bold" w:hAnsi="Verdana-Bold"/>
          <w:b/>
          <w:bCs/>
          <w:lang w:bidi="ar-SA"/>
        </w:rPr>
        <w:t xml:space="preserve">Comisión Informativa de Desarrollo Urbano y Económico Sostenible, </w:t>
      </w:r>
      <w:r>
        <w:rPr>
          <w:rFonts w:cs="Verdana" w:ascii="Verdana" w:hAnsi="Verdana"/>
          <w:lang w:bidi="ar-SA"/>
        </w:rPr>
        <w:t xml:space="preserve">el que suscribe, </w:t>
      </w:r>
      <w:r>
        <w:rPr>
          <w:rFonts w:cs="Verdana-Bold" w:ascii="Verdana-Bold" w:hAnsi="Verdana-Bold"/>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Declarar expresamente que están cubiertas las necesidades de suelo destinado a la construcción de viviendas protegidas en este municipio y, en consecuencia, considerando innecesario destinar la totalidad de los bienes integrantes del Patrimonio Público de suelo del dicho destino, pudiendo destinar dichos bienes a los otros fines que marca la legislación de aplicación Es todo cuanto cumplo en informarle a Vd., quien, no obstante, resolverá lo procedente.”</w:t>
      </w:r>
    </w:p>
    <w:p>
      <w:pPr>
        <w:pStyle w:val="Normal"/>
        <w:widowControl/>
        <w:jc w:val="left"/>
        <w:rPr>
          <w:rFonts w:ascii="Verdana" w:hAnsi="Verdana" w:cs="Verdana"/>
          <w:lang w:bidi="ar-SA"/>
        </w:rPr>
      </w:pPr>
      <w:r>
        <w:rPr>
          <w:rFonts w:cs="Verdana" w:ascii="Verdana" w:hAnsi="Verdana"/>
          <w:lang w:bidi="ar-SA"/>
        </w:rPr>
        <w:tab/>
        <w:t>A continuación, se da cuenta del informe técnico – jurídico, de fecha 18 de abril de 2021, que dice:</w:t>
      </w:r>
    </w:p>
    <w:p>
      <w:pPr>
        <w:pStyle w:val="NormalWeb"/>
        <w:jc w:val="left"/>
        <w:rPr>
          <w:rFonts w:ascii="Verdana" w:hAnsi="Verdana" w:cs="Verdana"/>
          <w:b/>
          <w:b/>
          <w:bCs/>
          <w:sz w:val="22"/>
          <w:szCs w:val="22"/>
        </w:rPr>
      </w:pPr>
      <w:r>
        <w:rPr>
          <w:rFonts w:cs="Verdana" w:ascii="Verdana" w:hAnsi="Verdana"/>
          <w:b/>
          <w:bCs/>
          <w:sz w:val="22"/>
          <w:szCs w:val="22"/>
        </w:rPr>
        <w:t>“</w:t>
      </w:r>
      <w:r>
        <w:rPr>
          <w:rFonts w:cs="Verdana" w:ascii="Verdana" w:hAnsi="Verdana"/>
          <w:b/>
          <w:bCs/>
          <w:sz w:val="22"/>
          <w:szCs w:val="22"/>
        </w:rPr>
        <w:t>INFORME TÉCNICO - JURÍDICO EN RELACIÓN A LA APLICACIÓN DEL ARTÍCULO 299.2 DE LA LEY 4/2017, DE 13 DE JULIO, DEL SUELO Y DE LOS ESPACIOS NATURALES PROTEGIDOS DE CANARIAS. CONCEJAL</w:t>
      </w:r>
      <w:r>
        <w:rPr>
          <w:rFonts w:cs="Verdana" w:ascii="Verdana" w:hAnsi="Verdana"/>
          <w:b/>
          <w:bCs/>
          <w:sz w:val="22"/>
          <w:szCs w:val="22"/>
        </w:rPr>
        <w:t>Í</w:t>
      </w:r>
      <w:r>
        <w:rPr>
          <w:rFonts w:cs="Verdana" w:ascii="Verdana" w:hAnsi="Verdana"/>
          <w:b/>
          <w:bCs/>
          <w:sz w:val="22"/>
          <w:szCs w:val="22"/>
        </w:rPr>
        <w:t>AS DE VIVIENDA, PLANEAMIENTO Y ASESORÍA JURÍDICA.</w:t>
      </w:r>
    </w:p>
    <w:p>
      <w:pPr>
        <w:pStyle w:val="NormalWeb"/>
        <w:jc w:val="left"/>
        <w:rPr>
          <w:rFonts w:ascii="Verdana" w:hAnsi="Verdana" w:cs="Verdana"/>
          <w:b/>
          <w:b/>
          <w:bCs/>
          <w:sz w:val="22"/>
          <w:szCs w:val="22"/>
        </w:rPr>
      </w:pPr>
      <w:r>
        <w:rPr>
          <w:rFonts w:cs="Verdana" w:ascii="Verdana" w:hAnsi="Verdana"/>
          <w:b/>
          <w:bCs/>
          <w:sz w:val="22"/>
          <w:szCs w:val="22"/>
        </w:rPr>
        <w:t>1.- OBJETO</w:t>
      </w:r>
    </w:p>
    <w:p>
      <w:pPr>
        <w:pStyle w:val="NormalWeb"/>
        <w:jc w:val="left"/>
        <w:rPr>
          <w:rFonts w:ascii="Verdana" w:hAnsi="Verdana" w:cs="Verdana"/>
          <w:sz w:val="22"/>
          <w:szCs w:val="22"/>
        </w:rPr>
      </w:pPr>
      <w:r>
        <w:rPr>
          <w:rFonts w:cs="Verdana" w:ascii="Verdana" w:hAnsi="Verdana"/>
          <w:sz w:val="22"/>
          <w:szCs w:val="22"/>
        </w:rPr>
        <w:t xml:space="preserve">Es objeto del presente informe justificar ante el Instituto Canario de la Vivienda, que en el municipio de la Villa de Agüimes, que están cubiertas las necesidades de vivienda protegida en su territorio competencial y, en consecuencia, el carácter innecesario de dicho destino a fin de que por el Instituto Canario de la Vivienda, informe favorable, y que dichos bienes puedan ser destinados alternativamente a cualquiera de los restantes fines previstos en artículo 299.2) de la Ley 4/2017 de 13 de julio, del Suelo y de los Espacios Naturales Protegidos de Canarias y el artículo 160.1) del Reglamento de Gestión y Ejecución del Planeamiento de Canaria, Decreto 183/2018 de 26 de diciembre. </w:t>
      </w:r>
    </w:p>
    <w:p>
      <w:pPr>
        <w:pStyle w:val="NormalWeb"/>
        <w:spacing w:lineRule="auto" w:line="360"/>
        <w:jc w:val="left"/>
        <w:rPr>
          <w:rFonts w:ascii="Verdana" w:hAnsi="Verdana" w:cs="Verdana"/>
          <w:b/>
          <w:b/>
          <w:bCs/>
          <w:sz w:val="22"/>
          <w:szCs w:val="22"/>
        </w:rPr>
      </w:pPr>
      <w:r>
        <w:rPr>
          <w:rFonts w:cs="Verdana" w:ascii="Verdana" w:hAnsi="Verdana"/>
          <w:b/>
          <w:bCs/>
          <w:sz w:val="22"/>
          <w:szCs w:val="22"/>
        </w:rPr>
        <w:t xml:space="preserve">2.- MARCO LEGISLATIVO. </w:t>
      </w:r>
    </w:p>
    <w:p>
      <w:pPr>
        <w:pStyle w:val="NormalWeb"/>
        <w:jc w:val="left"/>
        <w:rPr>
          <w:rFonts w:ascii="Verdana" w:hAnsi="Verdana" w:cs="Verdana"/>
          <w:sz w:val="22"/>
          <w:szCs w:val="22"/>
        </w:rPr>
      </w:pPr>
      <w:r>
        <w:rPr>
          <w:rFonts w:cs="Verdana" w:ascii="Verdana" w:hAnsi="Verdana"/>
          <w:sz w:val="22"/>
          <w:szCs w:val="22"/>
        </w:rPr>
        <w:t xml:space="preserve">Artículo 297. d) de la Ley 4/2017 de 13 de julio del Suelo y de los Espacios Naturales de Canaria, en adelante, LSENPC, señala que integran el patrimonio público del suelo: </w:t>
      </w:r>
    </w:p>
    <w:p>
      <w:pPr>
        <w:pStyle w:val="Normal"/>
        <w:spacing w:before="280" w:after="280"/>
        <w:jc w:val="left"/>
        <w:rPr>
          <w:rFonts w:ascii="Verdana" w:hAnsi="Verdana" w:cs="Verdana"/>
          <w:i/>
          <w:i/>
          <w:iCs/>
        </w:rPr>
      </w:pPr>
      <w:r>
        <w:rPr>
          <w:rFonts w:cs="Verdana" w:ascii="Verdana" w:hAnsi="Verdana"/>
          <w:i/>
          <w:iCs/>
        </w:rPr>
        <w:t>“</w:t>
      </w:r>
      <w:r>
        <w:rPr>
          <w:rFonts w:cs="Verdana" w:ascii="Verdana" w:hAnsi="Verdana"/>
          <w:i/>
          <w:iCs/>
        </w:rPr>
        <w:t>b) Los terrenos y las edificaciones o construcciones obtenidas en virtud de las cesiones correspondientes a la participación de la Administración en el aprovechamiento urbanístico, así como las adquisiciones de bienes o dinero por razón de la gestión urbanística, incluso mediante convenio urbanístico.”</w:t>
      </w:r>
    </w:p>
    <w:p>
      <w:pPr>
        <w:pStyle w:val="Normal"/>
        <w:spacing w:before="280" w:after="280"/>
        <w:jc w:val="left"/>
        <w:rPr/>
      </w:pPr>
      <w:r>
        <w:rPr>
          <w:rFonts w:cs="Verdana" w:ascii="Verdana" w:hAnsi="Verdana"/>
        </w:rPr>
        <w:t xml:space="preserve">El  artículo 298 de la LSCENPC versa sobre la reserva de terreno en relación al patrimonio público del suelo:  </w:t>
      </w:r>
    </w:p>
    <w:p>
      <w:pPr>
        <w:pStyle w:val="Normal"/>
        <w:spacing w:before="280" w:after="280"/>
        <w:jc w:val="left"/>
        <w:rPr>
          <w:rFonts w:ascii="Verdana" w:hAnsi="Verdana" w:cs="Verdana"/>
          <w:i/>
          <w:i/>
          <w:iCs/>
        </w:rPr>
      </w:pPr>
      <w:r>
        <w:rPr>
          <w:rFonts w:cs="Verdana" w:ascii="Verdana" w:hAnsi="Verdana"/>
          <w:i/>
          <w:iCs/>
        </w:rPr>
        <w:t>1. El planeamiento podrá establecer, en cualquier clase de suelo, reservas de terreno de posible adquisición para la constitución o ampliación por la administración correspondiente de su patrimonio público de suelo.</w:t>
      </w:r>
    </w:p>
    <w:p>
      <w:pPr>
        <w:pStyle w:val="Normal"/>
        <w:spacing w:before="280" w:after="280"/>
        <w:jc w:val="left"/>
        <w:rPr>
          <w:rFonts w:ascii="Verdana" w:hAnsi="Verdana" w:cs="Verdana"/>
          <w:i/>
          <w:i/>
          <w:iCs/>
        </w:rPr>
      </w:pPr>
      <w:r>
        <w:rPr>
          <w:rFonts w:cs="Verdana" w:ascii="Verdana" w:hAnsi="Verdana"/>
          <w:i/>
          <w:iCs/>
        </w:rPr>
        <w:t>2. El establecimiento o la delimitación de las reservas de terreno con la finalidad expresada en el apartado 1 comporta:</w:t>
      </w:r>
    </w:p>
    <w:p>
      <w:pPr>
        <w:pStyle w:val="Normal"/>
        <w:spacing w:before="280" w:after="280"/>
        <w:jc w:val="left"/>
        <w:rPr>
          <w:rFonts w:ascii="Verdana" w:hAnsi="Verdana" w:cs="Verdana"/>
          <w:i/>
          <w:i/>
          <w:iCs/>
        </w:rPr>
      </w:pPr>
      <w:r>
        <w:rPr>
          <w:rFonts w:cs="Verdana" w:ascii="Verdana" w:hAnsi="Verdana"/>
          <w:i/>
          <w:iCs/>
        </w:rPr>
        <w:t>a) La declaración de utilidad pública y la necesidad de la ocupación a efectos de expropiación forzosa por un tiempo máximo de cuatro años, prorrogable una sola vez por otros dos años. La prórroga deberá fundarse en causa justificada y acordarse, de oficio o a instancia de parte, previa información pública y audiencia de los propietarios afectados por plazo común de veinte días. La eficacia de la prórroga requerirá su comunicación a la Administración de la comunidad o el cabildo insular competente y la publicación en el Boletín Oficial de Canarias o, en su caso, en el Boletín Oficial de la Provincia.</w:t>
      </w:r>
    </w:p>
    <w:p>
      <w:pPr>
        <w:pStyle w:val="Normal"/>
        <w:spacing w:before="280" w:after="280"/>
        <w:jc w:val="left"/>
        <w:rPr>
          <w:rFonts w:ascii="Verdana" w:hAnsi="Verdana" w:cs="Verdana"/>
          <w:i/>
          <w:i/>
          <w:iCs/>
        </w:rPr>
      </w:pPr>
      <w:r>
        <w:rPr>
          <w:rFonts w:cs="Verdana" w:ascii="Verdana" w:hAnsi="Verdana"/>
          <w:i/>
          <w:iCs/>
        </w:rPr>
        <w:t>b) La sujeción de todas las transmisiones que se efectúen en las reservas a los derechos de tanteo y retracto previstos en esta ley en favor de la Administración correspondiente.</w:t>
      </w:r>
    </w:p>
    <w:p>
      <w:pPr>
        <w:pStyle w:val="Normal"/>
        <w:spacing w:before="280" w:after="280"/>
        <w:jc w:val="left"/>
        <w:rPr>
          <w:rFonts w:ascii="Verdana" w:hAnsi="Verdana" w:cs="Verdana"/>
          <w:i/>
          <w:i/>
          <w:iCs/>
        </w:rPr>
      </w:pPr>
      <w:r>
        <w:rPr>
          <w:rFonts w:cs="Verdana" w:ascii="Verdana" w:hAnsi="Verdana"/>
          <w:i/>
          <w:iCs/>
        </w:rPr>
        <w:t>3. Los plazos de vigencia de la declaración de utilidad pública y la necesidad de ocupación, y de su eventual prórroga, cuando se trate de suelo urbano, serán la mitad de los expresados en el apartado anterior.</w:t>
      </w:r>
    </w:p>
    <w:p>
      <w:pPr>
        <w:pStyle w:val="Normal"/>
        <w:spacing w:before="280" w:after="280"/>
        <w:jc w:val="left"/>
        <w:rPr>
          <w:rFonts w:ascii="Verdana" w:hAnsi="Verdana" w:cs="Verdana"/>
        </w:rPr>
      </w:pPr>
      <w:bookmarkStart w:id="0" w:name="LCAN_2017_189_A_299"/>
      <w:bookmarkEnd w:id="0"/>
      <w:r>
        <w:rPr>
          <w:rFonts w:cs="Verdana" w:ascii="Verdana" w:hAnsi="Verdana"/>
        </w:rPr>
        <w:t xml:space="preserve">Respecto al destino de los bienes integrantes del patrimonio público del suelo, el artículo 299 de la LSENPC, señala:  </w:t>
      </w:r>
    </w:p>
    <w:p>
      <w:pPr>
        <w:pStyle w:val="Normal"/>
        <w:spacing w:before="280" w:after="280"/>
        <w:jc w:val="left"/>
        <w:rPr>
          <w:rFonts w:ascii="Verdana" w:hAnsi="Verdana" w:cs="Verdana"/>
          <w:i/>
          <w:i/>
          <w:iCs/>
        </w:rPr>
      </w:pPr>
      <w:r>
        <w:rPr>
          <w:rFonts w:cs="Verdana" w:ascii="Verdana" w:hAnsi="Verdana"/>
          <w:i/>
          <w:iCs/>
        </w:rPr>
        <w:t>“</w:t>
      </w:r>
      <w:r>
        <w:rPr>
          <w:rFonts w:cs="Verdana" w:ascii="Verdana" w:hAnsi="Verdana"/>
          <w:i/>
          <w:iCs/>
        </w:rPr>
        <w:t>1. Los bienes integrantes del patrimonio público de suelo, una vez incorporados al proceso urbanizador o edificatorio, se destinarán, atendiendo a la propia naturaleza del bien, a la construcción de viviendas protegidas.</w:t>
      </w:r>
    </w:p>
    <w:p>
      <w:pPr>
        <w:pStyle w:val="Normal"/>
        <w:spacing w:before="280" w:after="280"/>
        <w:jc w:val="left"/>
        <w:rPr>
          <w:rFonts w:ascii="Verdana" w:hAnsi="Verdana" w:cs="Verdana"/>
          <w:i/>
          <w:i/>
          <w:iCs/>
        </w:rPr>
      </w:pPr>
      <w:r>
        <w:rPr>
          <w:rFonts w:cs="Verdana" w:ascii="Verdana" w:hAnsi="Verdana"/>
          <w:i/>
          <w:iCs/>
        </w:rPr>
        <w:t>2. Igualmente, esos bienes podrán ser destinados, de acuerdo con lo que dispongan los instrumentos de ordenación urbanística, a otros usos de interés social, entre los cuales están:</w:t>
      </w:r>
    </w:p>
    <w:p>
      <w:pPr>
        <w:pStyle w:val="Normal"/>
        <w:spacing w:before="280" w:after="280"/>
        <w:jc w:val="left"/>
        <w:rPr>
          <w:rFonts w:ascii="Verdana" w:hAnsi="Verdana" w:cs="Verdana"/>
          <w:i/>
          <w:i/>
          <w:iCs/>
        </w:rPr>
      </w:pPr>
      <w:r>
        <w:rPr>
          <w:rFonts w:cs="Verdana" w:ascii="Verdana" w:hAnsi="Verdana"/>
          <w:i/>
          <w:iCs/>
        </w:rPr>
        <w:t>a) Actuaciones integradas o aisladas de renovación urbana y de rehabilitación edificatoria de iniciativa pública. b) Conservación o mejora del medioambiente y de espacios naturales. c) Conservación o mejora del patrimonio histórico. d) Protección del litoral. e) Actuaciones públicas dotacionales, sistemas generales y equipamientos públicos. f) Conservación, administración y ampliación de dichos patrimonios, siempre que solo se financien gastos de capital y no se infrinja la legislación aplicable. g) La propia planificación y gestión territoriales y urbanísticas, en especial al pago en especie, mediante permuta, de suelo destinado a sistemas generales. h) Actuaciones en áreas sujetas a renovación, rehabilitación o sustitución de plazas alojativas turísticas. i) Ejecutar acciones para corregir las situaciones incluidas en los catálogos de impacto. j) Cualquier otra actividad de interés social, incluida la de carácter socioeconómico inherente al carácter integrado de operaciones de regeneración urbana.</w:t>
      </w:r>
    </w:p>
    <w:p>
      <w:pPr>
        <w:pStyle w:val="Normal"/>
        <w:spacing w:before="280" w:after="280"/>
        <w:jc w:val="left"/>
        <w:rPr>
          <w:rFonts w:ascii="Verdana" w:hAnsi="Verdana" w:cs="Verdana"/>
          <w:i/>
          <w:i/>
          <w:iCs/>
        </w:rPr>
      </w:pPr>
      <w:r>
        <w:rPr>
          <w:rFonts w:cs="Verdana" w:ascii="Verdana" w:hAnsi="Verdana"/>
          <w:i/>
          <w:iCs/>
        </w:rPr>
        <w:t>3. Cuando el uso de los bienes a los que se refiere este artículo sea residencial, se destinarán prioritariamente a la construcción de viviendas protegidas. Excepcionalmente, previo acuerdo de la administración titular del patrimonio, que habrá de notificarse fehacientemente al Instituto Canario de la Vivienda en el plazo de quince días a partir de la fecha de su formulación, mediante certificación municipal en la que se declare expresamente que están cubiertas las necesidades de vivienda protegida en su territorio competencial y, en consecuencia, el carácter innecesario de dicho destino, o también cuando por sus condiciones se entienda no aptos para este fin, previo informe favorable del Instituto Canario de la Vivienda, esos bienes podrán ser destinados alternativamente a cualquiera de los restantes fines previstos en el apartado anterior.”</w:t>
      </w:r>
    </w:p>
    <w:p>
      <w:pPr>
        <w:pStyle w:val="NormalWeb"/>
        <w:spacing w:lineRule="auto" w:line="360"/>
        <w:jc w:val="left"/>
        <w:rPr>
          <w:rFonts w:ascii="Verdana" w:hAnsi="Verdana" w:cs="Verdana"/>
          <w:sz w:val="22"/>
          <w:szCs w:val="22"/>
        </w:rPr>
      </w:pPr>
      <w:r>
        <w:rPr>
          <w:rFonts w:cs="Verdana" w:ascii="Verdana" w:hAnsi="Verdana"/>
          <w:sz w:val="22"/>
          <w:szCs w:val="22"/>
        </w:rPr>
        <w:t xml:space="preserve">El artículo 160. 1) y 2) del RGEPC, señala: </w:t>
      </w:r>
    </w:p>
    <w:p>
      <w:pPr>
        <w:pStyle w:val="Normal"/>
        <w:spacing w:before="280" w:after="280"/>
        <w:jc w:val="left"/>
        <w:rPr/>
      </w:pPr>
      <w:r>
        <w:rPr>
          <w:rFonts w:cs="Verdana" w:ascii="Verdana" w:hAnsi="Verdana"/>
          <w:i/>
          <w:iCs/>
        </w:rPr>
        <w:t>1. Los bienes integrantes de los patrimonios públicos de suelo , una vez incorporados al proceso urbanizador o edificatorio, se destinarán, atendiendo a la propia naturaleza del bien y de acuerdo con lo que dispongan los instrumentos de ordenación urbanística a cualquiera de los siguientes fines: a) Viviendas sujetas a algún régimen de protección pública. b) Actuaciones integradas o aisladas de renovación urbana y de rehabilitación edificatoria de iniciativa pública. c) Conservación o mejora del medio ambiente. d) Conservación o mejora del patrimonio Histórico. e) Actuaciones públicas dotacionales, sistemas generales y equipamientos públicos u otras actividades de interés social. f) Conservación y ampliación de dichos patrimonios. g) A la propia planificación y gestión territoriales y urbanísticas, en especial al pago en especie, mediante permuta, de los terrenos destinados a Sistemas Generales. h) Actuaciones en áreas sujetas a renovación, rehabilitación o sustitución de plazas alojativas turísticas. i) Ejecutar acciones para corregir las situaciones incluidas en los catálogos de impactos. j) Cualquier otra actividad de interés social, incluida la de carácter socioeconómico inherente al carácter integrado de operaciones de regeneración urbana. 2. Cuando el uso de los bienes a que se refiere este artículo sea residencial, se destinarán prioritariamente a la construcción de viviendas protegidas. Excepcionalmente, previo acuerdo de la administración titular del patrimonio, que habrá de notificarse fehacientemente al Instituto Canario de la Vivienda en el plazo de quince días a partir de la fecha de su formulación , mediante certificación municipal en la que se declare expresamente que están cubiertas las necesidades de vivienda protegida en su territorio competencial y , en consecuencia , el carácter innecesario de dicho destino, o también cuando por sus condiciones se entienda no aptos para este fin , previo informe favorable del Instituto Canario de la Vivienda , esos bienes podrán ser destinados alternativamente a cualquiera de los restantes fines previstos en el apartado anterior.”</w:t>
      </w:r>
    </w:p>
    <w:p>
      <w:pPr>
        <w:pStyle w:val="NormalWeb"/>
        <w:jc w:val="left"/>
        <w:rPr>
          <w:rFonts w:ascii="Verdana" w:hAnsi="Verdana" w:cs="Verdana"/>
          <w:sz w:val="22"/>
          <w:szCs w:val="22"/>
        </w:rPr>
      </w:pPr>
      <w:r>
        <w:rPr>
          <w:rFonts w:cs="Verdana" w:ascii="Verdana" w:hAnsi="Verdana"/>
          <w:sz w:val="22"/>
          <w:szCs w:val="22"/>
        </w:rPr>
        <w:t xml:space="preserve">Se debe considerar lo señalado en el artículo 52.1) del Texto Refundido de la Ley del Suelo y Rehabilitación Urbano, aprobado por Real Decreto Legislativo 7/2015, de 30 de octubre, en adelante TRLSRU, que señala: </w:t>
      </w:r>
    </w:p>
    <w:p>
      <w:pPr>
        <w:pStyle w:val="Simple"/>
        <w:jc w:val="left"/>
        <w:rPr/>
      </w:pPr>
      <w:r>
        <w:rPr>
          <w:rFonts w:cs="Verdana" w:ascii="Verdana" w:hAnsi="Verdana"/>
          <w:i/>
          <w:iCs/>
          <w:sz w:val="22"/>
          <w:szCs w:val="22"/>
        </w:rPr>
        <w:t>“</w:t>
      </w:r>
      <w:r>
        <w:rPr>
          <w:rFonts w:cs="Verdana" w:ascii="Verdana" w:hAnsi="Verdana"/>
          <w:i/>
          <w:iCs/>
          <w:sz w:val="22"/>
          <w:szCs w:val="22"/>
        </w:rPr>
        <w:t>1. Los bienes y recursos que integran necesariamente los patrimonios públicos de suelo en virtud de lo dispuesto en el apartado 1 del artículo anterior, deberán ser destinados a la construcción de viviendas sujetas a algún régimen de protección pública, salvo lo dispuesto en el artículo 18.2 a). Podrán ser destinados también a otros usos de interés social, de acuerdo con lo que dispongan los instrumentos de ordenación urbanística, sólo cuando así lo prevea la legislación en la materia especificando los fines admisibles, que serán urbanísticos, de protección o mejora de espacios naturales o de los bienes inmuebles del patrimonio cultural, o de carácter socio-económico para atender las necesidades que requiera el carácter integrado de operaciones de regeneración urbana.”</w:t>
      </w:r>
      <w:r>
        <w:rPr>
          <w:rStyle w:val="Caracteresdenotaalpie"/>
          <w:rStyle w:val="Ancladenotaalpie"/>
          <w:rFonts w:cs="Verdana" w:ascii="Verdana" w:hAnsi="Verdana"/>
          <w:i/>
          <w:iCs/>
          <w:sz w:val="22"/>
          <w:szCs w:val="22"/>
        </w:rPr>
        <w:footnoteReference w:id="2"/>
      </w:r>
    </w:p>
    <w:p>
      <w:pPr>
        <w:pStyle w:val="NormalWeb"/>
        <w:jc w:val="left"/>
        <w:rPr>
          <w:rFonts w:ascii="Verdana" w:hAnsi="Verdana" w:cs="Verdana"/>
          <w:sz w:val="22"/>
          <w:szCs w:val="22"/>
        </w:rPr>
      </w:pPr>
      <w:r>
        <w:rPr>
          <w:rFonts w:cs="Verdana" w:ascii="Verdana" w:hAnsi="Verdana"/>
          <w:sz w:val="22"/>
          <w:szCs w:val="22"/>
        </w:rPr>
        <w:t xml:space="preserve">El artículo 44.c) de la Ley 4/2017 de 13 de julio del Suelo y de los Espacios Naturales de Canarias, en adelante LSENPC, como deberes en los suelos urbanizables </w:t>
      </w:r>
    </w:p>
    <w:p>
      <w:pPr>
        <w:pStyle w:val="Normal"/>
        <w:spacing w:before="280" w:after="280"/>
        <w:jc w:val="left"/>
        <w:rPr>
          <w:rFonts w:ascii="Verdana" w:hAnsi="Verdana" w:cs="Verdana"/>
          <w:i/>
          <w:i/>
          <w:iCs/>
        </w:rPr>
      </w:pPr>
      <w:r>
        <w:rPr>
          <w:rFonts w:cs="Verdana" w:ascii="Verdana" w:hAnsi="Verdana"/>
          <w:i/>
          <w:iCs/>
        </w:rPr>
        <w:t>c) Ceder gratuitamente al ayuntamiento, en parcelas urbanizadas y en concepto de participación de la comunidad en las plusvalías, la superficie de suelo precisa para la materialización del 10% del aprovechamiento del sector, con destino al patrimonio público de suelo. Esta cesión podrá sustituirse por el abono en dinero al ayuntamiento de una cantidad que, en ningún caso, será inferior al valor de mercado, salvo que deba destinarse a vivienda protegida.</w:t>
      </w:r>
    </w:p>
    <w:p>
      <w:pPr>
        <w:pStyle w:val="Normal"/>
        <w:spacing w:before="280" w:after="280"/>
        <w:jc w:val="left"/>
        <w:rPr>
          <w:rFonts w:ascii="Verdana" w:hAnsi="Verdana" w:cs="Verdana"/>
        </w:rPr>
      </w:pPr>
      <w:r>
        <w:rPr>
          <w:rFonts w:cs="Verdana" w:ascii="Verdana" w:hAnsi="Verdana"/>
        </w:rPr>
        <w:t xml:space="preserve">Igualmente el artículo 50.1 c) de la LSENPC, dispone: </w:t>
      </w:r>
    </w:p>
    <w:p>
      <w:pPr>
        <w:pStyle w:val="Normal"/>
        <w:spacing w:before="280" w:after="280"/>
        <w:jc w:val="left"/>
        <w:rPr>
          <w:rFonts w:ascii="Verdana" w:hAnsi="Verdana" w:cs="Verdana"/>
          <w:i/>
          <w:i/>
          <w:iCs/>
        </w:rPr>
      </w:pPr>
      <w:r>
        <w:rPr>
          <w:rFonts w:cs="Verdana" w:ascii="Verdana" w:hAnsi="Verdana"/>
          <w:i/>
          <w:iCs/>
        </w:rPr>
        <w:t>“</w:t>
      </w:r>
      <w:r>
        <w:rPr>
          <w:rFonts w:cs="Verdana" w:ascii="Verdana" w:hAnsi="Verdana"/>
          <w:i/>
          <w:iCs/>
        </w:rPr>
        <w:t>c) Ceder gratuitamente al ayuntamiento, en parcelas urbanizadas, y en concepto de participación de la comunidad en las plusvalías, la superficie de suelo precisa para la materialización del 10% del aprovechamiento urbanístico del ámbito correspondiente con destino al patrimonio público del suelo. Esta cesión podrá sustituirse por el abono en dinero al ayuntamiento de una cantidad que, en ningún caso, será inferior al valor de mercado; dicho abono tendrá lugar con carácter preferente cuando se genere un proindiviso en el que deba participar la Administración.”</w:t>
      </w:r>
    </w:p>
    <w:p>
      <w:pPr>
        <w:pStyle w:val="NormalWeb"/>
        <w:jc w:val="left"/>
        <w:rPr>
          <w:rFonts w:ascii="Verdana" w:hAnsi="Verdana" w:cs="Verdana"/>
          <w:sz w:val="22"/>
          <w:szCs w:val="22"/>
        </w:rPr>
      </w:pPr>
      <w:r>
        <w:rPr>
          <w:rFonts w:cs="Verdana" w:ascii="Verdana" w:hAnsi="Verdana"/>
          <w:sz w:val="22"/>
          <w:szCs w:val="22"/>
        </w:rPr>
        <w:t xml:space="preserve">Dichos artículos deben ponerse en relación con lo dispuesto en el artículo 8 de la LSENPC, en relación a la función social del derecho de propiedad, que en su apartado 2.b) lo siguiente: </w:t>
      </w:r>
    </w:p>
    <w:p>
      <w:pPr>
        <w:pStyle w:val="Normal"/>
        <w:spacing w:before="280" w:after="280"/>
        <w:jc w:val="left"/>
        <w:rPr/>
      </w:pPr>
      <w:r>
        <w:rPr>
          <w:rFonts w:cs="Verdana" w:ascii="Verdana" w:hAnsi="Verdana"/>
        </w:rPr>
        <w:t>“</w:t>
      </w:r>
      <w:r>
        <w:rPr>
          <w:rFonts w:cs="Verdana" w:ascii="Verdana" w:hAnsi="Verdana"/>
          <w:i/>
          <w:iCs/>
        </w:rPr>
        <w:t>b) La participación de la comunidad en las plusvalías generadas por la actuación urbanística de los entes públicos y de los particulares.”</w:t>
      </w:r>
      <w:r>
        <w:rPr>
          <w:rFonts w:cs="Verdana" w:ascii="Verdana" w:hAnsi="Verdana"/>
        </w:rPr>
        <w:t>.</w:t>
      </w:r>
    </w:p>
    <w:p>
      <w:pPr>
        <w:pStyle w:val="NormalWeb"/>
        <w:jc w:val="left"/>
        <w:rPr>
          <w:rFonts w:ascii="Verdana" w:hAnsi="Verdana" w:cs="Verdana"/>
          <w:b/>
          <w:b/>
          <w:bCs/>
          <w:sz w:val="22"/>
          <w:szCs w:val="22"/>
        </w:rPr>
      </w:pPr>
      <w:r>
        <w:rPr>
          <w:rFonts w:cs="Verdana" w:ascii="Verdana" w:hAnsi="Verdana"/>
          <w:b/>
          <w:bCs/>
          <w:sz w:val="22"/>
          <w:szCs w:val="22"/>
        </w:rPr>
        <w:t xml:space="preserve">3.- RESULTADOS DE LA POLÍTICA DE VIVIENDA DESARROLLADA POR ESTE AYUNTAMIENTO DURANTE LOS AÑOS COMPRENDIDOS ENTRE 1999 a 2021. </w:t>
      </w:r>
    </w:p>
    <w:p>
      <w:pPr>
        <w:pStyle w:val="NormalWeb"/>
        <w:jc w:val="left"/>
        <w:rPr>
          <w:rFonts w:ascii="Verdana" w:hAnsi="Verdana" w:cs="Verdana"/>
          <w:sz w:val="22"/>
          <w:szCs w:val="22"/>
        </w:rPr>
      </w:pPr>
      <w:r>
        <w:rPr>
          <w:rFonts w:cs="Verdana" w:ascii="Verdana" w:hAnsi="Verdana"/>
          <w:sz w:val="22"/>
          <w:szCs w:val="22"/>
        </w:rPr>
        <w:t xml:space="preserve">Para entender en su justa dimensión la política de vivienda que se ha desarrollado en el Ayuntamiento de Agüimes hay que destacar que nunca se han monetarizado los aprovechamientos que en desarrollo de sectores de uso residencial le correspondieron. Además el suelo que ha adquirido el Ayuntamiento con los sucesivos desarrollos urbanísticos se ha destinado básicamente a la construcción de viviendas o a la obtención de suelo urbanizable para el desarrollo de sectores de uso residencial, poniendo suelo a la venta al mejor precio del mercado. </w:t>
      </w:r>
    </w:p>
    <w:p>
      <w:pPr>
        <w:pStyle w:val="NormalWeb"/>
        <w:jc w:val="left"/>
        <w:rPr>
          <w:rFonts w:ascii="Verdana" w:hAnsi="Verdana" w:cs="Verdana"/>
          <w:sz w:val="22"/>
          <w:szCs w:val="22"/>
        </w:rPr>
      </w:pPr>
      <w:r>
        <w:rPr>
          <w:rFonts w:cs="Verdana" w:ascii="Verdana" w:hAnsi="Verdana"/>
          <w:sz w:val="22"/>
          <w:szCs w:val="22"/>
        </w:rPr>
        <w:t xml:space="preserve">El Ayuntamiento de Agüimes cuenta en la actualidad con una población aproximada de 31.914 habitantes. (Datos obtenidos en el mes de junio de 2020 del Departamento de Estadística de este Ayuntamiento). </w:t>
      </w:r>
    </w:p>
    <w:p>
      <w:pPr>
        <w:pStyle w:val="NormalWeb"/>
        <w:jc w:val="left"/>
        <w:rPr/>
      </w:pPr>
      <w:r>
        <w:rPr>
          <w:rFonts w:cs="Verdana" w:ascii="Verdana" w:hAnsi="Verdana"/>
          <w:sz w:val="22"/>
          <w:szCs w:val="22"/>
          <w:u w:val="single"/>
        </w:rPr>
        <w:t>Según informa la Oficina Municipal de la Vivienda de este Ayuntamiento, durante el período comprendido entre el año 1999 a 2021</w:t>
      </w:r>
      <w:r>
        <w:rPr>
          <w:rFonts w:cs="Verdana" w:ascii="Verdana" w:hAnsi="Verdana"/>
          <w:sz w:val="22"/>
          <w:szCs w:val="22"/>
        </w:rPr>
        <w:t xml:space="preserve"> se realizaron las siguientes actuaciones:</w:t>
      </w:r>
    </w:p>
    <w:p>
      <w:pPr>
        <w:pStyle w:val="NormalWeb"/>
        <w:jc w:val="left"/>
        <w:rPr>
          <w:rFonts w:ascii="Verdana" w:hAnsi="Verdana" w:cs="Verdana"/>
          <w:sz w:val="22"/>
          <w:szCs w:val="22"/>
        </w:rPr>
      </w:pPr>
      <w:r>
        <w:rPr>
          <w:rFonts w:cs="Verdana" w:ascii="Verdana" w:hAnsi="Verdana"/>
          <w:sz w:val="22"/>
          <w:szCs w:val="22"/>
        </w:rPr>
        <w:t>-Cesión de suelo a la Dirección General de Vivienda del Gobierno de canarias, hoy Instituto Canario de la Vivienda, de los solares para la construcción de 28 viviendas en La Goleta, 16 en Montaña de los Vélez y 15 en el Cruce de Arinaga. Como consecuencia de lo expuesto se han construido 59 viviendas propiedad del Instituto Canario de la Vivienda, cedidas en régimen de alquiler.</w:t>
      </w:r>
    </w:p>
    <w:p>
      <w:pPr>
        <w:pStyle w:val="NormalWeb"/>
        <w:jc w:val="left"/>
        <w:rPr>
          <w:rFonts w:ascii="Verdana" w:hAnsi="Verdana" w:cs="Verdana"/>
          <w:sz w:val="22"/>
          <w:szCs w:val="22"/>
        </w:rPr>
      </w:pPr>
      <w:r>
        <w:rPr>
          <w:rFonts w:cs="Verdana" w:ascii="Verdana" w:hAnsi="Verdana"/>
          <w:sz w:val="22"/>
          <w:szCs w:val="22"/>
        </w:rPr>
        <w:t>- Cesión gratuita de suelo a la entidad pública Visocan ( Viviendas Sociales de Canarias) para la construcción de 34 viviendas en régimen de alquiler. Es la promoción o grupo denominado “La Higuera”.</w:t>
      </w:r>
    </w:p>
    <w:p>
      <w:pPr>
        <w:pStyle w:val="NormalWeb"/>
        <w:jc w:val="left"/>
        <w:rPr>
          <w:rFonts w:ascii="Verdana" w:hAnsi="Verdana" w:cs="Verdana"/>
          <w:sz w:val="22"/>
          <w:szCs w:val="22"/>
        </w:rPr>
      </w:pPr>
      <w:r>
        <w:rPr>
          <w:rFonts w:cs="Verdana" w:ascii="Verdana" w:hAnsi="Verdana"/>
          <w:sz w:val="22"/>
          <w:szCs w:val="22"/>
        </w:rPr>
        <w:t>- Permuta de suelo comercial por suelo residencial efectuada con la empresa pública Visocan para la construcción de 72 viviendas de protección oficial de régimen general, cuya construcción ha sido recientemente iniciada, cuyos destinatarios vendrán a reducir el número total de solicitantes inscritos en la Oficina de Vivienda.</w:t>
      </w:r>
    </w:p>
    <w:p>
      <w:pPr>
        <w:pStyle w:val="NormalWeb"/>
        <w:jc w:val="left"/>
        <w:rPr>
          <w:rFonts w:ascii="Verdana" w:hAnsi="Verdana" w:cs="Verdana"/>
          <w:sz w:val="22"/>
          <w:szCs w:val="22"/>
        </w:rPr>
      </w:pPr>
      <w:r>
        <w:rPr>
          <w:rFonts w:cs="Verdana" w:ascii="Verdana" w:hAnsi="Verdana"/>
          <w:sz w:val="22"/>
          <w:szCs w:val="22"/>
        </w:rPr>
        <w:t xml:space="preserve">- Cesión del derecho de superficie sobre 30 solares en el barrio de Las Rosas, así como la redacción de los proyectos y la dirección de las obras para la construcción de otras tantas viviendas en régimen de autoconstrucción. Hoy muchos de los autoconstructores han accedido además a la propiedad del suelo. </w:t>
      </w:r>
    </w:p>
    <w:p>
      <w:pPr>
        <w:pStyle w:val="NormalWeb"/>
        <w:jc w:val="left"/>
        <w:rPr>
          <w:rFonts w:ascii="Verdana" w:hAnsi="Verdana" w:cs="Verdana"/>
          <w:sz w:val="22"/>
          <w:szCs w:val="22"/>
        </w:rPr>
      </w:pPr>
      <w:r>
        <w:rPr>
          <w:rFonts w:cs="Verdana" w:ascii="Verdana" w:hAnsi="Verdana"/>
          <w:sz w:val="22"/>
          <w:szCs w:val="22"/>
        </w:rPr>
        <w:t>- Cesión del derecho de superficie sobre 28 solares en Agüimes, así como la redacción de los proyectos y la dirección de las obras para la construcción de otras tantas viviendas en régimen de autoconstrucción. Hoy muchos de los autoconstructores han accedido además a la propiedad del suelo.</w:t>
      </w:r>
    </w:p>
    <w:p>
      <w:pPr>
        <w:pStyle w:val="NormalWeb"/>
        <w:jc w:val="left"/>
        <w:rPr>
          <w:rFonts w:ascii="Verdana" w:hAnsi="Verdana" w:cs="Verdana"/>
          <w:sz w:val="22"/>
          <w:szCs w:val="22"/>
        </w:rPr>
      </w:pPr>
      <w:r>
        <w:rPr>
          <w:rFonts w:cs="Verdana" w:ascii="Verdana" w:hAnsi="Verdana"/>
          <w:sz w:val="22"/>
          <w:szCs w:val="22"/>
        </w:rPr>
        <w:t xml:space="preserve">- Cesión del derecho de superficie sobre 11 solares en el barrio de La Goleta, así como la redacción de los proyectos y la dirección de las obras para la construcción de otras tantas viviendas en régimen de autoconstrucción. Hoy muchos de los autoconstructores han accedido además a la propiedad del suelo. </w:t>
      </w:r>
    </w:p>
    <w:p>
      <w:pPr>
        <w:pStyle w:val="NormalWeb"/>
        <w:jc w:val="left"/>
        <w:rPr>
          <w:rFonts w:ascii="Verdana" w:hAnsi="Verdana" w:cs="Verdana"/>
          <w:sz w:val="22"/>
          <w:szCs w:val="22"/>
        </w:rPr>
      </w:pPr>
      <w:r>
        <w:rPr>
          <w:rFonts w:cs="Verdana" w:ascii="Verdana" w:hAnsi="Verdana"/>
          <w:sz w:val="22"/>
          <w:szCs w:val="22"/>
        </w:rPr>
        <w:t>- Cesión del derecho de superficie sobre 30 solares en el barrio de Montaña de los Vélez, así como la redacción de los proyectos y la dirección de las obras para la construcción de otras tantas viviendas en régimen de autoconstrucción. Hoy muchos de los autoconstructores han accedido además a la propiedad del suelo.</w:t>
      </w:r>
    </w:p>
    <w:p>
      <w:pPr>
        <w:pStyle w:val="NormalWeb"/>
        <w:jc w:val="left"/>
        <w:rPr>
          <w:rFonts w:ascii="Verdana" w:hAnsi="Verdana" w:cs="Verdana"/>
          <w:sz w:val="22"/>
          <w:szCs w:val="22"/>
        </w:rPr>
      </w:pPr>
      <w:r>
        <w:rPr>
          <w:rFonts w:cs="Verdana" w:ascii="Verdana" w:hAnsi="Verdana"/>
          <w:sz w:val="22"/>
          <w:szCs w:val="22"/>
        </w:rPr>
        <w:t>- Venta de 17 solares en La Goleta para la promoción y construcción de otras tantas viviendas unifamiliares de protección oficial de régimen general.</w:t>
      </w:r>
    </w:p>
    <w:p>
      <w:pPr>
        <w:pStyle w:val="NormalWeb"/>
        <w:jc w:val="left"/>
        <w:rPr>
          <w:rFonts w:ascii="Verdana" w:hAnsi="Verdana" w:cs="Verdana"/>
          <w:sz w:val="22"/>
          <w:szCs w:val="22"/>
        </w:rPr>
      </w:pPr>
      <w:r>
        <w:rPr>
          <w:rFonts w:eastAsia="Verdana" w:cs="Verdana" w:ascii="Verdana" w:hAnsi="Verdana"/>
          <w:sz w:val="22"/>
          <w:szCs w:val="22"/>
        </w:rPr>
        <w:t xml:space="preserve"> </w:t>
      </w:r>
      <w:r>
        <w:rPr>
          <w:rFonts w:cs="Verdana" w:ascii="Verdana" w:hAnsi="Verdana"/>
          <w:sz w:val="22"/>
          <w:szCs w:val="22"/>
        </w:rPr>
        <w:t>- Venta de 16 solares en Montaña de los Vélez para la promoción y construcción de otras tantas viviendas unifamiliares de protección oficial de régimen general.</w:t>
      </w:r>
    </w:p>
    <w:p>
      <w:pPr>
        <w:pStyle w:val="NormalWeb"/>
        <w:jc w:val="left"/>
        <w:rPr>
          <w:rFonts w:ascii="Verdana" w:hAnsi="Verdana" w:cs="Verdana"/>
          <w:sz w:val="22"/>
          <w:szCs w:val="22"/>
        </w:rPr>
      </w:pPr>
      <w:r>
        <w:rPr>
          <w:rFonts w:cs="Verdana" w:ascii="Verdana" w:hAnsi="Verdana"/>
          <w:sz w:val="22"/>
          <w:szCs w:val="22"/>
        </w:rPr>
        <w:t>- Venta de 19 solares en La Banda para la promoción y construcción de otras tantas viviendas unifamiliares de protección oficial de régimen general.</w:t>
      </w:r>
    </w:p>
    <w:p>
      <w:pPr>
        <w:pStyle w:val="NormalWeb"/>
        <w:jc w:val="left"/>
        <w:rPr>
          <w:rFonts w:ascii="Verdana" w:hAnsi="Verdana" w:cs="Verdana"/>
          <w:sz w:val="22"/>
          <w:szCs w:val="22"/>
        </w:rPr>
      </w:pPr>
      <w:r>
        <w:rPr>
          <w:rFonts w:cs="Verdana" w:ascii="Verdana" w:hAnsi="Verdana"/>
          <w:sz w:val="22"/>
          <w:szCs w:val="22"/>
        </w:rPr>
        <w:t>- Se ha impulsado, mediante la obtención de suelo a un precio apto para permitir la autoconstrucción la formación de una cooperativa de vivienda fruto de la cual se construyeron 38 viviendas unifamiliares en régimen de autoconstrucción.</w:t>
      </w:r>
    </w:p>
    <w:p>
      <w:pPr>
        <w:pStyle w:val="NormalWeb"/>
        <w:jc w:val="left"/>
        <w:rPr>
          <w:rFonts w:ascii="Verdana" w:hAnsi="Verdana" w:cs="Verdana"/>
          <w:sz w:val="22"/>
          <w:szCs w:val="22"/>
        </w:rPr>
      </w:pPr>
      <w:r>
        <w:rPr>
          <w:rFonts w:cs="Verdana" w:ascii="Verdana" w:hAnsi="Verdana"/>
          <w:sz w:val="22"/>
          <w:szCs w:val="22"/>
        </w:rPr>
        <w:t>- Se suscribió un convenio con la entidad pública Gestur (GESTIÓN URBANÍSTICA DE LAS PALMAS S.A.) mediante el cual se cedió suelo para urbanizar, que posteriormente se vendió a precio de costo para la construcción de 311 viviendas de protección oficial de régimen general o de autoconstrucción.</w:t>
      </w:r>
    </w:p>
    <w:p>
      <w:pPr>
        <w:pStyle w:val="NormalWeb"/>
        <w:jc w:val="left"/>
        <w:rPr>
          <w:rFonts w:ascii="Verdana" w:hAnsi="Verdana" w:cs="Verdana"/>
          <w:sz w:val="22"/>
          <w:szCs w:val="22"/>
        </w:rPr>
      </w:pPr>
      <w:r>
        <w:rPr>
          <w:rFonts w:cs="Verdana" w:ascii="Verdana" w:hAnsi="Verdana"/>
          <w:sz w:val="22"/>
          <w:szCs w:val="22"/>
        </w:rPr>
        <w:t>- Como resultado del convenio antes citado suscrito con Gestur también se impulsó la formación de una cooperativa de vivienda de la que resultaron 45 viviendas en régimen de autoconstrucción.</w:t>
      </w:r>
    </w:p>
    <w:p>
      <w:pPr>
        <w:pStyle w:val="NormalWeb"/>
        <w:jc w:val="left"/>
        <w:rPr>
          <w:rFonts w:ascii="Verdana" w:hAnsi="Verdana" w:cs="Verdana"/>
          <w:sz w:val="22"/>
          <w:szCs w:val="22"/>
        </w:rPr>
      </w:pPr>
      <w:r>
        <w:rPr>
          <w:rFonts w:cs="Verdana" w:ascii="Verdana" w:hAnsi="Verdana"/>
          <w:sz w:val="22"/>
          <w:szCs w:val="22"/>
        </w:rPr>
        <w:t>- Se realizó colaboración con Gestur Las Palmas, para la adjudicación de 15 parcelas para la autoconstrucción de viviendas.</w:t>
      </w:r>
    </w:p>
    <w:p>
      <w:pPr>
        <w:pStyle w:val="NormalWeb"/>
        <w:jc w:val="left"/>
        <w:rPr>
          <w:rFonts w:ascii="Verdana" w:hAnsi="Verdana" w:cs="Verdana"/>
          <w:sz w:val="22"/>
          <w:szCs w:val="22"/>
        </w:rPr>
      </w:pPr>
      <w:r>
        <w:rPr>
          <w:rFonts w:cs="Verdana" w:ascii="Verdana" w:hAnsi="Verdana"/>
          <w:sz w:val="22"/>
          <w:szCs w:val="22"/>
        </w:rPr>
        <w:t>- Que de fecha 15 de abril de 2021 a fin de impulsar el sector SUSo-R-1 LAS CRUCITAS, impulsado por el propio Ayuntamiento, se firma contrato de compraventa entre el Ayuntamiento de Agüimes y la entidad Gestión Urbanística de Las Palmas, S.A., para la fincas registrales nº 10.058, situada en la calle Avd. Hermano de la Salle, 25 y situación donde llaman Remudas de abajo.</w:t>
      </w:r>
    </w:p>
    <w:p>
      <w:pPr>
        <w:pStyle w:val="NormalWeb"/>
        <w:jc w:val="left"/>
        <w:rPr>
          <w:rFonts w:ascii="Verdana" w:hAnsi="Verdana" w:cs="Verdana"/>
          <w:sz w:val="22"/>
          <w:szCs w:val="22"/>
        </w:rPr>
      </w:pPr>
      <w:r>
        <w:rPr>
          <w:rFonts w:cs="Verdana" w:ascii="Verdana" w:hAnsi="Verdana"/>
          <w:sz w:val="22"/>
          <w:szCs w:val="22"/>
        </w:rPr>
        <w:t>CONCLUSIÓN: Entre los años 1999 y 2021 desde el Ayuntamiento de Agüimes se ha impulsado, poniendo en marcha distintos mecanismos, que la normativa lo permite para la construcción de 725 viviendas sujetas a algún régimen de protección que marca la ley, y todo ello a pesar de la grave crisis económica que surgió en este país, sin contar con los numerosísimos expedientes de solicitud de subvenciones para la construcción de vivienda que se han tramitado desde la Oficina Municipal de Vivienda ni las promociones de viviendas de protección oficial desarrolladas por constructoras privadas, que no se pueden cuantificar.</w:t>
      </w:r>
    </w:p>
    <w:p>
      <w:pPr>
        <w:pStyle w:val="NormalWeb"/>
        <w:jc w:val="left"/>
        <w:rPr/>
      </w:pPr>
      <w:r>
        <w:rPr>
          <w:rFonts w:cs="Verdana" w:ascii="Verdana" w:hAnsi="Verdana"/>
          <w:b/>
          <w:bCs/>
        </w:rPr>
        <w:t>4</w:t>
      </w:r>
      <w:r>
        <w:rPr>
          <w:rFonts w:cs="Verdana" w:ascii="Verdana" w:hAnsi="Verdana"/>
          <w:b/>
          <w:bCs/>
          <w:sz w:val="22"/>
          <w:szCs w:val="22"/>
        </w:rPr>
        <w:t>.- PREVISIONES</w:t>
      </w:r>
    </w:p>
    <w:p>
      <w:pPr>
        <w:pStyle w:val="NormalWeb"/>
        <w:jc w:val="left"/>
        <w:rPr>
          <w:rFonts w:ascii="Verdana" w:hAnsi="Verdana" w:cs="Verdana"/>
          <w:sz w:val="22"/>
          <w:szCs w:val="22"/>
        </w:rPr>
      </w:pPr>
      <w:r>
        <w:rPr>
          <w:rFonts w:cs="Verdana" w:ascii="Verdana" w:hAnsi="Verdana"/>
          <w:sz w:val="22"/>
          <w:szCs w:val="22"/>
        </w:rPr>
        <w:t>El Ayuntamiento de Agüimes mantiene actualmente una base de datos creada desde al año 2006 para conocer la demanda de vivienda protegida que existe en el municipio:</w:t>
      </w:r>
    </w:p>
    <w:p>
      <w:pPr>
        <w:pStyle w:val="NormalWeb"/>
        <w:jc w:val="left"/>
        <w:rPr>
          <w:rFonts w:ascii="Verdana" w:hAnsi="Verdana" w:cs="Verdana"/>
          <w:sz w:val="22"/>
          <w:szCs w:val="22"/>
        </w:rPr>
      </w:pPr>
      <w:r>
        <w:rPr>
          <w:rFonts w:cs="Verdana" w:ascii="Verdana" w:hAnsi="Verdana"/>
          <w:sz w:val="22"/>
          <w:szCs w:val="22"/>
        </w:rPr>
        <w:t xml:space="preserve">La base de datos de la Oficina Municipal de Vivienda se encuentra los solicitantes de vivienda de protección oficial, la adjudicación de solares autoconstrucción o promociones de viviendas gestionados por intermediación del Ayuntamiento. Actualmente la demanda de suelo y vivienda por parte de los residentes en este Municipio se concreta, según se recoge en la Oficina Municipal de la Vivienda de Agüimes, desde su creación de 1411 solicitudes de distinta índole. </w:t>
      </w:r>
    </w:p>
    <w:p>
      <w:pPr>
        <w:pStyle w:val="NormalWeb"/>
        <w:jc w:val="left"/>
        <w:rPr>
          <w:rFonts w:ascii="Verdana" w:hAnsi="Verdana" w:cs="Verdana"/>
          <w:sz w:val="22"/>
          <w:szCs w:val="22"/>
        </w:rPr>
      </w:pPr>
      <w:r>
        <w:rPr>
          <w:rFonts w:cs="Verdana" w:ascii="Verdana" w:hAnsi="Verdana"/>
          <w:sz w:val="22"/>
          <w:szCs w:val="22"/>
        </w:rPr>
        <w:t>Haciendo referencia a los datos expuestos con anterioridad donde se informaba la última puesta a disposición de suelo público realizado, año 2010, la base de datos municipal refleja desde dicho año hasta la actualidad, 139 nuevas inscripciones de vecinos, demandando vivienda de primera necesidad social, dicho hecho acredita la disminución de la demanda, en referencia al ratio que surgió en los años 2000/2010, se manifiesta que la necesidad existe pero de forma muchas más reducida, agudizándose más aún por la situación socio-económica vivida en estos últimos años.</w:t>
      </w:r>
    </w:p>
    <w:p>
      <w:pPr>
        <w:pStyle w:val="NormalWeb"/>
        <w:jc w:val="left"/>
        <w:rPr>
          <w:rFonts w:ascii="Verdana" w:hAnsi="Verdana" w:cs="Verdana"/>
          <w:sz w:val="22"/>
          <w:szCs w:val="22"/>
        </w:rPr>
      </w:pPr>
      <w:r>
        <w:rPr>
          <w:rFonts w:cs="Verdana" w:ascii="Verdana" w:hAnsi="Verdana"/>
          <w:sz w:val="22"/>
          <w:szCs w:val="22"/>
        </w:rPr>
        <w:t>La previsión, teniendo en cuenta la experiencia de años anteriores es que en el momento en que salga la convocatoria de nuevo suelo y viviendas, podrá ver una demanda, pero será imposible de cuantificar, al estar sujeta a la situación socio-económica del país.</w:t>
      </w:r>
    </w:p>
    <w:p>
      <w:pPr>
        <w:pStyle w:val="NormalWeb"/>
        <w:jc w:val="left"/>
        <w:rPr>
          <w:rFonts w:ascii="Verdana" w:hAnsi="Verdana" w:cs="Verdana"/>
          <w:sz w:val="22"/>
          <w:szCs w:val="22"/>
        </w:rPr>
      </w:pPr>
      <w:r>
        <w:rPr>
          <w:rFonts w:cs="Verdana" w:ascii="Verdana" w:hAnsi="Verdana"/>
          <w:sz w:val="22"/>
          <w:szCs w:val="22"/>
        </w:rPr>
        <w:t xml:space="preserve">Así mismo por otro lado se encuentra la base de datos creada por el Instituto Canario de la Vivienda y en la que están incluidas aquellas personas que tienen un perfil apto para ser destinatarias de viviendas de promoción pública es todas su variantes. </w:t>
      </w:r>
    </w:p>
    <w:p>
      <w:pPr>
        <w:pStyle w:val="NormalWeb"/>
        <w:jc w:val="left"/>
        <w:rPr>
          <w:rFonts w:ascii="Verdana" w:hAnsi="Verdana" w:cs="Verdana"/>
          <w:sz w:val="22"/>
          <w:szCs w:val="22"/>
        </w:rPr>
      </w:pPr>
      <w:r>
        <w:rPr>
          <w:rFonts w:cs="Verdana" w:ascii="Verdana" w:hAnsi="Verdana"/>
          <w:sz w:val="22"/>
          <w:szCs w:val="22"/>
        </w:rPr>
      </w:r>
    </w:p>
    <w:p>
      <w:pPr>
        <w:pStyle w:val="NormalWeb"/>
        <w:jc w:val="left"/>
        <w:rPr>
          <w:rFonts w:ascii="Verdana" w:hAnsi="Verdana" w:cs="Verdana"/>
          <w:b/>
          <w:b/>
          <w:bCs/>
          <w:sz w:val="22"/>
          <w:szCs w:val="22"/>
        </w:rPr>
      </w:pPr>
      <w:r>
        <w:rPr>
          <w:rFonts w:cs="Verdana" w:ascii="Verdana" w:hAnsi="Verdana"/>
          <w:b/>
          <w:bCs/>
          <w:sz w:val="22"/>
          <w:szCs w:val="22"/>
        </w:rPr>
        <w:t>CONCLUSIÓN:</w:t>
      </w:r>
    </w:p>
    <w:p>
      <w:pPr>
        <w:pStyle w:val="NormalWeb"/>
        <w:jc w:val="left"/>
        <w:rPr>
          <w:rFonts w:ascii="Verdana" w:hAnsi="Verdana" w:cs="Verdana"/>
          <w:sz w:val="22"/>
          <w:szCs w:val="22"/>
        </w:rPr>
      </w:pPr>
      <w:r>
        <w:rPr>
          <w:rFonts w:cs="Verdana" w:ascii="Verdana" w:hAnsi="Verdana"/>
          <w:sz w:val="22"/>
          <w:szCs w:val="22"/>
        </w:rPr>
        <w:t xml:space="preserve">Tras la exposición de los datos expuestos y en relación al situación actual de demanda que existe y sus previsiones, se hace saber que siempre y cuando la coyuntura socio-económica acompañe se deberá estimar el desarrollo de suelo protegido para la demanda que surja en los próximos diez, quince y veinte años, suelo ya previsto en el nuevo Plan General de Ordenación, que prevé varios sectores a desarrollar, cubriendo con creces la demandas futuras, para suelo protegido en sus distintas índoles y tipología que marca la ley. </w:t>
      </w:r>
    </w:p>
    <w:p>
      <w:pPr>
        <w:pStyle w:val="NormalWeb"/>
        <w:jc w:val="left"/>
        <w:rPr>
          <w:rFonts w:ascii="Verdana" w:hAnsi="Verdana" w:cs="Verdana"/>
          <w:b/>
          <w:b/>
          <w:bCs/>
          <w:sz w:val="22"/>
          <w:szCs w:val="22"/>
        </w:rPr>
      </w:pPr>
      <w:r>
        <w:rPr>
          <w:rFonts w:cs="Verdana" w:ascii="Verdana" w:hAnsi="Verdana"/>
          <w:b/>
          <w:bCs/>
          <w:sz w:val="22"/>
          <w:szCs w:val="22"/>
        </w:rPr>
        <w:t>5.- LA OFERTA: PREVISIONES DEL PLAN GENERAL DE ORDENACIÓN DE AGÜIMES</w:t>
      </w:r>
    </w:p>
    <w:p>
      <w:pPr>
        <w:pStyle w:val="NormalWeb"/>
        <w:jc w:val="left"/>
        <w:rPr>
          <w:rFonts w:ascii="Verdana" w:hAnsi="Verdana" w:cs="Verdana"/>
          <w:sz w:val="22"/>
          <w:szCs w:val="22"/>
        </w:rPr>
      </w:pPr>
      <w:r>
        <w:rPr>
          <w:rFonts w:cs="Verdana" w:ascii="Verdana" w:hAnsi="Verdana"/>
          <w:sz w:val="22"/>
          <w:szCs w:val="22"/>
        </w:rPr>
        <w:t>El municipio de Agüimes existe un Plan General de Ordenación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 diciembre de 2017, número 144 de boletín, constando en la página 259 Del Tomo III.1 de la Memoria de Ordenación Estructural dispone en el apartado 10.3.7 de la misma, lo siguiente:</w:t>
      </w:r>
    </w:p>
    <w:p>
      <w:pPr>
        <w:pStyle w:val="NormalWeb"/>
        <w:jc w:val="left"/>
        <w:rPr>
          <w:rFonts w:ascii="Verdana" w:hAnsi="Verdana" w:cs="Verdana"/>
          <w:lang w:val="es-ES" w:eastAsia="es-ES"/>
        </w:rPr>
      </w:pPr>
      <w:r>
        <w:rPr>
          <w:rFonts w:cs="Verdana" w:ascii="Verdana" w:hAnsi="Verdana"/>
          <w:lang w:val="es-ES" w:eastAsia="es-ES"/>
        </w:rPr>
        <w:drawing>
          <wp:inline distT="0" distB="0" distL="0" distR="0">
            <wp:extent cx="5391785" cy="3311525"/>
            <wp:effectExtent l="0" t="0" r="0" b="0"/>
            <wp:docPr id="1"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
                    <pic:cNvPicPr>
                      <a:picLocks noChangeAspect="1" noChangeArrowheads="1"/>
                    </pic:cNvPicPr>
                  </pic:nvPicPr>
                  <pic:blipFill>
                    <a:blip r:embed="rId2"/>
                    <a:srcRect l="-4" t="-7" r="-4" b="-7"/>
                    <a:stretch>
                      <a:fillRect/>
                    </a:stretch>
                  </pic:blipFill>
                  <pic:spPr bwMode="auto">
                    <a:xfrm>
                      <a:off x="0" y="0"/>
                      <a:ext cx="5391785" cy="3311525"/>
                    </a:xfrm>
                    <a:prstGeom prst="rect">
                      <a:avLst/>
                    </a:prstGeom>
                  </pic:spPr>
                </pic:pic>
              </a:graphicData>
            </a:graphic>
          </wp:inline>
        </w:drawing>
      </w:r>
    </w:p>
    <w:p>
      <w:pPr>
        <w:pStyle w:val="NormalWeb"/>
        <w:jc w:val="left"/>
        <w:rPr>
          <w:rFonts w:ascii="Verdana" w:hAnsi="Verdana" w:cs="Verdana"/>
          <w:i/>
          <w:i/>
          <w:lang w:val="es-ES" w:eastAsia="es-ES"/>
        </w:rPr>
      </w:pPr>
      <w:r>
        <w:rPr>
          <w:rFonts w:cs="Verdana" w:ascii="Verdana" w:hAnsi="Verdana"/>
          <w:i/>
          <w:lang w:val="es-ES" w:eastAsia="es-ES"/>
        </w:rPr>
        <w:drawing>
          <wp:inline distT="0" distB="0" distL="0" distR="0">
            <wp:extent cx="5391150" cy="1864995"/>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3"/>
                    <a:srcRect l="-4" t="-12" r="-4" b="-12"/>
                    <a:stretch>
                      <a:fillRect/>
                    </a:stretch>
                  </pic:blipFill>
                  <pic:spPr bwMode="auto">
                    <a:xfrm>
                      <a:off x="0" y="0"/>
                      <a:ext cx="5391150" cy="1864995"/>
                    </a:xfrm>
                    <a:prstGeom prst="rect">
                      <a:avLst/>
                    </a:prstGeom>
                  </pic:spPr>
                </pic:pic>
              </a:graphicData>
            </a:graphic>
          </wp:inline>
        </w:drawing>
      </w:r>
    </w:p>
    <w:p>
      <w:pPr>
        <w:pStyle w:val="NormalWeb"/>
        <w:jc w:val="left"/>
        <w:rPr>
          <w:rFonts w:ascii="Verdana" w:hAnsi="Verdana" w:cs="Verdana"/>
          <w:sz w:val="22"/>
          <w:szCs w:val="22"/>
        </w:rPr>
      </w:pPr>
      <w:r>
        <w:rPr>
          <w:rFonts w:cs="Verdana" w:ascii="Verdana" w:hAnsi="Verdana"/>
          <w:sz w:val="22"/>
          <w:szCs w:val="22"/>
        </w:rPr>
        <w:t xml:space="preserve">De esta manera, existen en los Suelos Urbanizables Sectorizados Ordenados un total de 106.489 m2 para que se puedan albergar viviendas, por lo que cumple lo indicado en el artículo 137.1B.d) de la LSENPC, así: </w:t>
      </w:r>
    </w:p>
    <w:p>
      <w:pPr>
        <w:pStyle w:val="Normal"/>
        <w:spacing w:before="280" w:after="280"/>
        <w:jc w:val="left"/>
        <w:rPr/>
      </w:pPr>
      <w:r>
        <w:rPr>
          <w:rFonts w:cs="Verdana" w:ascii="Verdana" w:hAnsi="Verdana"/>
          <w:i/>
          <w:iCs/>
        </w:rPr>
        <w:t>“</w:t>
      </w:r>
      <w:r>
        <w:rPr>
          <w:rFonts w:cs="Verdana" w:ascii="Verdana" w:hAnsi="Verdana"/>
          <w:i/>
          <w:iCs/>
        </w:rPr>
        <w:t>d) En el conjunto del suelo urbano no consolidado y de los suelos urbanizables de nueva creación con destino residencial se deberá adscribir, al menos, el 30% de la edificabilidad residencial a la construcción de viviendas protegidas. “</w:t>
      </w:r>
    </w:p>
    <w:p>
      <w:pPr>
        <w:pStyle w:val="NormalWeb"/>
        <w:jc w:val="left"/>
        <w:rPr>
          <w:rFonts w:ascii="Verdana" w:hAnsi="Verdana" w:cs="Verdana"/>
          <w:sz w:val="22"/>
          <w:szCs w:val="22"/>
        </w:rPr>
      </w:pPr>
      <w:r>
        <w:rPr>
          <w:rFonts w:cs="Verdana" w:ascii="Verdana" w:hAnsi="Verdana"/>
          <w:sz w:val="22"/>
          <w:szCs w:val="22"/>
        </w:rPr>
        <w:t xml:space="preserve">Así y conforme el Tomo IV.3 del Fichero de Ámbitos de Gestión de la Ordenación Pormenorizada en los suelos urbanos no consolidados y urbanizables existirá en Agüimes aprovechamientos para la construcción de algún tipo de vivienda protegidas, sin olvidar las parcelas adscritas a algún tipo de viviendas de protección en los suelos urbanos consolidados, como por ejemplo el reciente el Suelo Urbano Consolidado de Las Rosas. </w:t>
      </w:r>
    </w:p>
    <w:p>
      <w:pPr>
        <w:pStyle w:val="NormalWeb"/>
        <w:jc w:val="left"/>
        <w:rPr/>
      </w:pPr>
      <w:r>
        <w:rPr>
          <w:rFonts w:cs="Verdana" w:ascii="Verdana" w:hAnsi="Verdana"/>
          <w:sz w:val="22"/>
          <w:szCs w:val="22"/>
        </w:rPr>
        <w:t xml:space="preserve">De esta manera, del total de 3.034 viviendas máximas que pueden albergar los suelos urbanos no consolidados y los urbanizables sectorizados orfdenados previstos, destinándose por imperativo legal   el 30% de los aprovechamientos a la construcción de viviendas sujetas a algún tipo de protección, al menos existirán en Agüimes aprovechamientos para la </w:t>
      </w:r>
      <w:r>
        <w:rPr>
          <w:rFonts w:cs="Verdana" w:ascii="Verdana" w:hAnsi="Verdana"/>
          <w:b/>
          <w:bCs/>
          <w:sz w:val="22"/>
          <w:szCs w:val="22"/>
        </w:rPr>
        <w:t>construcción de al menos 897 viviendas</w:t>
      </w:r>
      <w:r>
        <w:rPr>
          <w:rFonts w:cs="Verdana" w:ascii="Verdana" w:hAnsi="Verdana"/>
          <w:sz w:val="22"/>
          <w:szCs w:val="22"/>
        </w:rPr>
        <w:t xml:space="preserve"> protegidas. Téngase en cuenta que se llega a esta conclusión con una simple regla de tres que arroja una cifra muy inferior a la real, ya que destinar el 30% de los aprovechamientos no significa que sólo se construya el 30% de viviendas protegidas, sino que serán bastantes más. Ello es debido a que las superficies de las viviendas protegidas y los coeficientes de homogenización hacen que este tipo de viviendas consuma menos aprovechamientos que las viviendas libres. A la cifra anterior habría que añadir las que resulten de la ordenación de los sectores urbanizables sectorizados no ordenados, a los que correspondería la siguiente previsión:</w:t>
      </w:r>
    </w:p>
    <w:p>
      <w:pPr>
        <w:pStyle w:val="NormalWeb"/>
        <w:jc w:val="left"/>
        <w:rPr>
          <w:rFonts w:ascii="Verdana" w:hAnsi="Verdana" w:cs="Verdana"/>
          <w:sz w:val="22"/>
          <w:szCs w:val="22"/>
        </w:rPr>
      </w:pPr>
      <w:r>
        <w:rPr>
          <w:rFonts w:cs="Verdana" w:ascii="Verdana" w:hAnsi="Verdana"/>
          <w:sz w:val="22"/>
          <w:szCs w:val="22"/>
        </w:rPr>
        <w:t>- Sector SUSno-1-R LA CAPELLANÍA: 5.529 unidades de aprovechamiento y el 30 % de su edificabilidad residencial.</w:t>
      </w:r>
    </w:p>
    <w:p>
      <w:pPr>
        <w:pStyle w:val="NormalWeb"/>
        <w:jc w:val="left"/>
        <w:rPr>
          <w:rFonts w:ascii="Verdana" w:hAnsi="Verdana" w:cs="Verdana"/>
          <w:sz w:val="22"/>
          <w:szCs w:val="22"/>
        </w:rPr>
      </w:pPr>
      <w:r>
        <w:rPr>
          <w:rFonts w:cs="Verdana" w:ascii="Verdana" w:hAnsi="Verdana"/>
          <w:sz w:val="22"/>
          <w:szCs w:val="22"/>
        </w:rPr>
        <w:t>- Sector SUSno-2-R ALBERCONCILLOS: 7.787 unidades de aprovechamiento y el 30 % de su edificabilidad residencial.</w:t>
      </w:r>
    </w:p>
    <w:p>
      <w:pPr>
        <w:pStyle w:val="NormalWeb"/>
        <w:jc w:val="left"/>
        <w:rPr>
          <w:rFonts w:ascii="Verdana" w:hAnsi="Verdana" w:cs="Verdana"/>
          <w:sz w:val="22"/>
          <w:szCs w:val="22"/>
        </w:rPr>
      </w:pPr>
      <w:r>
        <w:rPr>
          <w:rFonts w:cs="Verdana" w:ascii="Verdana" w:hAnsi="Verdana"/>
          <w:sz w:val="22"/>
          <w:szCs w:val="22"/>
        </w:rPr>
        <w:t>- Sector SUSno-3-R: 3.650 unidades de aprovechamiento y el 30 % de su edificabilidad residencial.</w:t>
      </w:r>
    </w:p>
    <w:p>
      <w:pPr>
        <w:pStyle w:val="NormalWeb"/>
        <w:spacing w:lineRule="auto" w:line="360"/>
        <w:jc w:val="left"/>
        <w:rPr>
          <w:rFonts w:ascii="Verdana" w:hAnsi="Verdana" w:cs="Verdana"/>
          <w:b/>
          <w:b/>
          <w:bCs/>
          <w:sz w:val="22"/>
          <w:szCs w:val="22"/>
        </w:rPr>
      </w:pPr>
      <w:r>
        <w:rPr>
          <w:rFonts w:cs="Verdana" w:ascii="Verdana" w:hAnsi="Verdana"/>
          <w:b/>
          <w:bCs/>
          <w:sz w:val="22"/>
          <w:szCs w:val="22"/>
        </w:rPr>
        <w:t>6.-OTRAS CONSIDERACIONES</w:t>
      </w:r>
    </w:p>
    <w:p>
      <w:pPr>
        <w:pStyle w:val="NormalWeb"/>
        <w:jc w:val="left"/>
        <w:rPr/>
      </w:pPr>
      <w:r>
        <w:rPr>
          <w:rFonts w:cs="Verdana" w:ascii="Verdana" w:hAnsi="Verdana"/>
          <w:sz w:val="22"/>
          <w:szCs w:val="22"/>
        </w:rPr>
        <w:t>El Ayuntamiento de Agüimes ha constituido su patrimonio público de suelo, separado del inventario de bienes municipal. No obstante, es necesario destacar, que como se ha venido haciendo desde el momento en que el, hoy derogado Texto Refundido de Ordenación del Territorio y de los Espacios Naturales Protegidos de Canaria, aprobado por Decreto Legislativo 1/2000 de 8 de mayo</w:t>
      </w:r>
      <w:r>
        <w:rPr>
          <w:rStyle w:val="Caracteresdenotaalpie"/>
          <w:rStyle w:val="Ancladenotaalpie"/>
          <w:rFonts w:cs="Verdana" w:ascii="Verdana" w:hAnsi="Verdana"/>
          <w:sz w:val="22"/>
          <w:szCs w:val="22"/>
        </w:rPr>
        <w:footnoteReference w:id="3"/>
      </w:r>
      <w:r>
        <w:rPr>
          <w:rFonts w:cs="Verdana" w:ascii="Verdana" w:hAnsi="Verdana"/>
          <w:sz w:val="22"/>
          <w:szCs w:val="22"/>
        </w:rPr>
        <w:t xml:space="preserve">, en adelante TRLOTENPC, entró en vigor, en este municipio se ha respetado el destinar el porcentaje correspondiente del aprovechamiento del Sector o en su caso de la Unidad de Actuación, al fin que legalmente viene previsto; por entender, que el destino del suelo es el que la Ley le adjudica independientemente de que formalmente se haya o no constituido el Patrimonio Municipal de Suelo. </w:t>
      </w:r>
    </w:p>
    <w:p>
      <w:pPr>
        <w:pStyle w:val="NormalWeb"/>
        <w:jc w:val="left"/>
        <w:rPr>
          <w:rFonts w:ascii="Verdana" w:hAnsi="Verdana" w:cs="Verdana"/>
          <w:sz w:val="22"/>
          <w:szCs w:val="22"/>
        </w:rPr>
      </w:pPr>
      <w:r>
        <w:rPr>
          <w:rFonts w:cs="Verdana" w:ascii="Verdana" w:hAnsi="Verdana"/>
          <w:sz w:val="22"/>
          <w:szCs w:val="22"/>
        </w:rPr>
        <w:t xml:space="preserve">En el municipio de Agüimes, los Sectores de Suelo Urbanizable y los Ámbitos de Suelo Urbano No Consolidado se han desarrollado urbanísticamente respetando obviamente los porcentajes previstos en la legislación para destinarlos a viviendas sometidas a algún régimen de protección pública y sin que se haya producido la monetarización del 10% de los aprovechamientos urbanísticos que le corresponden en concepto de participación de la comunidad en las plusvalías; es más, gran cantidad de este suelo ha sido cedido precisamente para destinarlo a viviendas de régimen de protección pública (por ejemplo: Sector de Suelo Urbanizable P-2 Residencial en el Cruce de Arinaga cedido al Instituto Canario de la Vivienda; Sector de Suelo Urbanizable en La Goleta cedido al Instituto Canario de la Vivienda,  Sector de Suelo Urbanizable en Montaña Los Vélez cedido al Instituto Canario de la Vivienda), lo cual hace evidente que se ha superado con creces el porcentaje de viviendas protegidas que marcaba la legislación. </w:t>
      </w:r>
    </w:p>
    <w:p>
      <w:pPr>
        <w:pStyle w:val="NormalWeb"/>
        <w:jc w:val="left"/>
        <w:rPr>
          <w:rFonts w:ascii="Verdana" w:hAnsi="Verdana" w:cs="Verdana"/>
          <w:sz w:val="22"/>
          <w:szCs w:val="22"/>
        </w:rPr>
      </w:pPr>
      <w:r>
        <w:rPr>
          <w:rFonts w:cs="Verdana" w:ascii="Verdana" w:hAnsi="Verdana"/>
          <w:sz w:val="22"/>
          <w:szCs w:val="22"/>
        </w:rPr>
        <w:t xml:space="preserve">En definitiva, la política de vivienda, cuyas cifras refleja este informe, ha conseguido superar el porcentaje de suelo destinado a viviendas sometidas a regímenes de protección pública al que legalmente está obligada, sin necesidad de acudir a una nuevas reclasificación de suelos urbanos o urbanizables para obtener suelo destinado para viviendas protegidas, salvaguardando los porcentajes que los aprovechamientos destinaban a dichas vivienda, destinando gran parte del suelo adquirido en virtud del 10% de participación de la Comunidad en las plusvalías mediante la cesión a otras Administraciones Públicas para destinarlo a suelo y viviendas protegidos, y la no monetarización del 10% en ningún Sector de Suelo Urbanizable o Ámbito de Suelo Urbano No Consolidado, ha logrado satisfacer la demanda de suelo y vivienda en este Municipio sin acudir a la nuevas reclasificaciones.   </w:t>
      </w:r>
    </w:p>
    <w:p>
      <w:pPr>
        <w:pStyle w:val="NormalWeb"/>
        <w:jc w:val="left"/>
        <w:rPr/>
      </w:pPr>
      <w:r>
        <w:rPr>
          <w:rFonts w:cs="Verdana" w:ascii="Verdana" w:hAnsi="Verdana"/>
          <w:sz w:val="22"/>
          <w:szCs w:val="22"/>
        </w:rPr>
        <w:t>Es más, este mes se ha suscrito la compraventa de una parcela a la entidad Gestur, Las Palmas, S.L., en Liquidación, de 8.192,76 metros en el SUSO-R-1 Las Crucitas con la finalidad de impulsar el desarrollo de  dicho sector, para asegurar su viabilidad, defender a los pequeños propietarios de terreno, vecinos del municipio, asegurando que este Ayuntamiento pueda impulsar y poner a disposición de los vecinos y vecinas de Agüimes, como así hiciera</w:t>
      </w:r>
      <w:r>
        <w:rPr>
          <w:rFonts w:cs="Verdana" w:ascii="Verdana" w:hAnsi="Verdana"/>
          <w:i/>
          <w:iCs/>
          <w:sz w:val="22"/>
          <w:szCs w:val="22"/>
        </w:rPr>
        <w:t xml:space="preserve"> </w:t>
      </w:r>
      <w:r>
        <w:rPr>
          <w:rFonts w:cs="Verdana" w:ascii="Verdana" w:hAnsi="Verdana"/>
          <w:sz w:val="22"/>
          <w:szCs w:val="22"/>
        </w:rPr>
        <w:t>con el Sector 2-3 La Charca, y poner a disposición de los ciudadanos solares a precios asequibles, ejerciendo así las competencias atribuidas por la Ley 2/2003, de 30 de enero, de Vivienda de Canarias, modificada por la Ley 1/2006, de 7 de febrero, y cumpliendo las exigencias que en materia de vivienda se exige en ella a las administraciones locales</w:t>
      </w:r>
      <w:r>
        <w:rPr>
          <w:rFonts w:cs="Verdana" w:ascii="Verdana" w:hAnsi="Verdana"/>
          <w:i/>
          <w:iCs/>
          <w:sz w:val="22"/>
          <w:szCs w:val="22"/>
        </w:rPr>
        <w:t xml:space="preserve">. </w:t>
      </w:r>
    </w:p>
    <w:p>
      <w:pPr>
        <w:pStyle w:val="NormalWeb"/>
        <w:jc w:val="left"/>
        <w:rPr>
          <w:rFonts w:ascii="Verdana" w:hAnsi="Verdana" w:cs="Verdana"/>
          <w:b/>
          <w:b/>
          <w:bCs/>
          <w:sz w:val="22"/>
          <w:szCs w:val="22"/>
        </w:rPr>
      </w:pPr>
      <w:r>
        <w:rPr>
          <w:rFonts w:cs="Verdana" w:ascii="Verdana" w:hAnsi="Verdana"/>
          <w:b/>
          <w:bCs/>
          <w:sz w:val="22"/>
          <w:szCs w:val="22"/>
        </w:rPr>
        <w:t>7.- EXCEPCIONALIDAD:</w:t>
      </w:r>
    </w:p>
    <w:p>
      <w:pPr>
        <w:pStyle w:val="NormalWeb"/>
        <w:jc w:val="left"/>
        <w:rPr>
          <w:rFonts w:ascii="Verdana" w:hAnsi="Verdana" w:cs="Verdana"/>
          <w:sz w:val="22"/>
          <w:szCs w:val="22"/>
        </w:rPr>
      </w:pPr>
      <w:r>
        <w:rPr>
          <w:rFonts w:cs="Verdana" w:ascii="Verdana" w:hAnsi="Verdana"/>
          <w:sz w:val="22"/>
          <w:szCs w:val="22"/>
        </w:rPr>
        <w:t xml:space="preserve">A la vista de lo expuesto, y teniendo en cuenta, la trayectoria seguida en materia de vivienda en este Municipio, la salvaguarda a través del Plan General de Ordenación de Agüimes, del cumplimiento de los estándares legalmente exigidos en cuanto al porcentaje de viviendas protegidas en los  aprovechamientos de los sectores de Suelo Urbanizable y de los ámbitos de Suelo Urbano No Consolidado, y sobre todo la combinación de ambos factores permiten afirmar que en este Municipio están cubiertas las necesidades de vivienda protegida en su territorio competencial, en conformidad con el artículo 14 de la LSENPC, que señala: </w:t>
      </w:r>
    </w:p>
    <w:p>
      <w:pPr>
        <w:pStyle w:val="Normal"/>
        <w:spacing w:before="280" w:after="280"/>
        <w:jc w:val="left"/>
        <w:rPr/>
      </w:pPr>
      <w:r>
        <w:rPr>
          <w:rFonts w:cs="Verdana" w:ascii="Verdana" w:hAnsi="Verdana"/>
          <w:i/>
          <w:iCs/>
        </w:rPr>
        <w:t>“</w:t>
      </w:r>
      <w:r>
        <w:rPr>
          <w:rFonts w:cs="Verdana" w:ascii="Verdana" w:hAnsi="Verdana"/>
          <w:i/>
          <w:iCs/>
        </w:rPr>
        <w:t>Los ayuntamientos canarios, órganos de gobierno y administración de los municipios, asumen y ejercen las competencias que les atribuye la presente ley, en particular sobre ordenación, gestión, ejecución del planeamiento, intervención, protección y disciplina urbanística; intervención en el mercado inmobiliario; protección y gestión del patrimonio histórico y promoción de viviendas</w:t>
      </w:r>
      <w:r>
        <w:rPr>
          <w:rStyle w:val="Highlight"/>
          <w:rFonts w:cs="Verdana" w:ascii="Verdana" w:hAnsi="Verdana"/>
          <w:i/>
          <w:iCs/>
        </w:rPr>
        <w:t xml:space="preserve"> protegidas </w:t>
      </w:r>
      <w:r>
        <w:rPr>
          <w:rFonts w:cs="Verdana" w:ascii="Verdana" w:hAnsi="Verdana"/>
          <w:i/>
          <w:iCs/>
        </w:rPr>
        <w:t>; conservación y rehabilitación de edificaciones y actuación sobre el medio urbano, con arreglo a los principios de autonomía y responsabilidad y en el marco de la legislación básica de régimen local.”</w:t>
      </w:r>
    </w:p>
    <w:p>
      <w:pPr>
        <w:pStyle w:val="NormalWeb"/>
        <w:jc w:val="left"/>
        <w:rPr/>
      </w:pPr>
      <w:r>
        <w:rPr>
          <w:rFonts w:eastAsia="Verdana" w:cs="Verdana" w:ascii="Verdana" w:hAnsi="Verdana"/>
          <w:sz w:val="22"/>
          <w:szCs w:val="22"/>
        </w:rPr>
        <w:t xml:space="preserve"> </w:t>
      </w:r>
      <w:r>
        <w:rPr>
          <w:rFonts w:cs="Verdana" w:ascii="Verdana" w:hAnsi="Verdana"/>
          <w:sz w:val="22"/>
          <w:szCs w:val="22"/>
        </w:rPr>
        <w:t>y, en consecuencia, los bienes integrantes del patrimonio público del suelo  podrán ser destinados alternativamente a cualquiera de los siguientes fines, en conformidad con el artículo 299.2) de la LSENPC, en conformidad con el artículo 160.1 b y siguientes del RGEPC:</w:t>
      </w:r>
    </w:p>
    <w:p>
      <w:pPr>
        <w:pStyle w:val="Normal"/>
        <w:spacing w:before="280" w:after="280"/>
        <w:jc w:val="left"/>
        <w:rPr>
          <w:rFonts w:ascii="Verdana" w:hAnsi="Verdana" w:cs="Verdana"/>
        </w:rPr>
      </w:pPr>
      <w:r>
        <w:rPr>
          <w:rFonts w:cs="Verdana" w:ascii="Verdana" w:hAnsi="Verdana"/>
        </w:rPr>
        <w:t>b) Conservación o mejora del medioambiente y de espacios naturales.</w:t>
      </w:r>
    </w:p>
    <w:p>
      <w:pPr>
        <w:pStyle w:val="Normal"/>
        <w:spacing w:before="280" w:after="280"/>
        <w:jc w:val="left"/>
        <w:rPr>
          <w:rFonts w:ascii="Verdana" w:hAnsi="Verdana" w:cs="Verdana"/>
        </w:rPr>
      </w:pPr>
      <w:r>
        <w:rPr>
          <w:rFonts w:cs="Verdana" w:ascii="Verdana" w:hAnsi="Verdana"/>
        </w:rPr>
        <w:t>c) Conservación o mejora del patrimonio histórico.</w:t>
      </w:r>
    </w:p>
    <w:p>
      <w:pPr>
        <w:pStyle w:val="Normal"/>
        <w:spacing w:before="280" w:after="280"/>
        <w:jc w:val="left"/>
        <w:rPr>
          <w:rFonts w:ascii="Verdana" w:hAnsi="Verdana" w:cs="Verdana"/>
        </w:rPr>
      </w:pPr>
      <w:r>
        <w:rPr>
          <w:rFonts w:cs="Verdana" w:ascii="Verdana" w:hAnsi="Verdana"/>
        </w:rPr>
        <w:t>d) Protección del litoral.</w:t>
      </w:r>
    </w:p>
    <w:p>
      <w:pPr>
        <w:pStyle w:val="Normal"/>
        <w:spacing w:before="280" w:after="280"/>
        <w:jc w:val="left"/>
        <w:rPr>
          <w:rFonts w:ascii="Verdana" w:hAnsi="Verdana" w:cs="Verdana"/>
        </w:rPr>
      </w:pPr>
      <w:r>
        <w:rPr>
          <w:rFonts w:cs="Verdana" w:ascii="Verdana" w:hAnsi="Verdana"/>
        </w:rPr>
        <w:t>e) Actuaciones públicas dotacionales, sistemas generales y equipamientos públicos.</w:t>
      </w:r>
    </w:p>
    <w:p>
      <w:pPr>
        <w:pStyle w:val="Normal"/>
        <w:spacing w:before="280" w:after="280"/>
        <w:jc w:val="left"/>
        <w:rPr>
          <w:rFonts w:ascii="Verdana" w:hAnsi="Verdana" w:cs="Verdana"/>
        </w:rPr>
      </w:pPr>
      <w:r>
        <w:rPr>
          <w:rFonts w:cs="Verdana" w:ascii="Verdana" w:hAnsi="Verdana"/>
        </w:rPr>
        <w:t>f) Conservación, administración y ampliación de dichos patrimonios, siempre que solo se financien gastos de capital y no se infrinja la legislación aplicable.</w:t>
      </w:r>
    </w:p>
    <w:p>
      <w:pPr>
        <w:pStyle w:val="Normal"/>
        <w:spacing w:before="280" w:after="280"/>
        <w:jc w:val="left"/>
        <w:rPr>
          <w:rFonts w:ascii="Verdana" w:hAnsi="Verdana" w:cs="Verdana"/>
        </w:rPr>
      </w:pPr>
      <w:r>
        <w:rPr>
          <w:rFonts w:cs="Verdana" w:ascii="Verdana" w:hAnsi="Verdana"/>
        </w:rPr>
        <w:t>g) La propia planificación y gestión territoriales y urbanísticas, en especial al pago en especie, mediante permuta, de suelo destinado a sistemas generales.</w:t>
      </w:r>
    </w:p>
    <w:p>
      <w:pPr>
        <w:pStyle w:val="Normal"/>
        <w:spacing w:before="280" w:after="280"/>
        <w:jc w:val="left"/>
        <w:rPr>
          <w:rFonts w:ascii="Verdana" w:hAnsi="Verdana" w:cs="Verdana"/>
        </w:rPr>
      </w:pPr>
      <w:r>
        <w:rPr>
          <w:rFonts w:cs="Verdana" w:ascii="Verdana" w:hAnsi="Verdana"/>
        </w:rPr>
        <w:t>h) Actuaciones en áreas sujetas a renovación, rehabilitación o sustitución de plazas alojativas turísticas.</w:t>
      </w:r>
    </w:p>
    <w:p>
      <w:pPr>
        <w:pStyle w:val="Normal"/>
        <w:spacing w:before="280" w:after="280"/>
        <w:jc w:val="left"/>
        <w:rPr>
          <w:rFonts w:ascii="Verdana" w:hAnsi="Verdana" w:cs="Verdana"/>
        </w:rPr>
      </w:pPr>
      <w:r>
        <w:rPr>
          <w:rFonts w:cs="Verdana" w:ascii="Verdana" w:hAnsi="Verdana"/>
        </w:rPr>
        <w:t>i) Ejecutar acciones para corregir las situaciones incluidas en los catálogos de impacto.</w:t>
      </w:r>
    </w:p>
    <w:p>
      <w:pPr>
        <w:pStyle w:val="Normal"/>
        <w:spacing w:before="280" w:after="280"/>
        <w:jc w:val="left"/>
        <w:rPr>
          <w:rFonts w:ascii="Verdana" w:hAnsi="Verdana" w:cs="Verdana"/>
        </w:rPr>
      </w:pPr>
      <w:r>
        <w:rPr>
          <w:rFonts w:cs="Verdana" w:ascii="Verdana" w:hAnsi="Verdana"/>
        </w:rPr>
        <w:t>j) Cualquier otra actividad de interés social, incluida la de carácter socioeconómico inherente al carácter integrado de operaciones de regeneración urbana.</w:t>
      </w:r>
    </w:p>
    <w:p>
      <w:pPr>
        <w:pStyle w:val="NormalWeb"/>
        <w:jc w:val="left"/>
        <w:rPr/>
      </w:pPr>
      <w:r>
        <w:rPr>
          <w:rFonts w:cs="Verdana" w:ascii="Verdana" w:hAnsi="Verdana"/>
          <w:sz w:val="22"/>
          <w:szCs w:val="22"/>
        </w:rPr>
        <w:t xml:space="preserve">Entiende este Ayuntamiento que precisamente esta excepcionalidad está prevista para amparar a aquellos municipios que </w:t>
      </w:r>
      <w:r>
        <w:rPr>
          <w:rFonts w:cs="Verdana" w:ascii="Verdana" w:hAnsi="Verdana"/>
          <w:b/>
          <w:bCs/>
          <w:sz w:val="22"/>
          <w:szCs w:val="22"/>
        </w:rPr>
        <w:t xml:space="preserve">siempre han cumplido con las previsiones legalmente establecidas para destinar su suelo a vivienda y suelo protegidos, </w:t>
      </w:r>
      <w:r>
        <w:rPr>
          <w:rFonts w:cs="Verdana" w:ascii="Verdana" w:hAnsi="Verdana"/>
          <w:sz w:val="22"/>
          <w:szCs w:val="22"/>
        </w:rPr>
        <w:t xml:space="preserve">y que por tanto no deben ser asimilados a aquellos que no lo han hecho, bajo riesgo de producirse situaciones de desigualdad amparadas en la uniformidad en el tratamiento. </w:t>
      </w:r>
    </w:p>
    <w:p>
      <w:pPr>
        <w:pStyle w:val="NormalWeb"/>
        <w:jc w:val="left"/>
        <w:rPr/>
      </w:pPr>
      <w:r>
        <w:rPr>
          <w:rFonts w:cs="Verdana" w:ascii="Verdana" w:hAnsi="Verdana"/>
          <w:sz w:val="22"/>
          <w:szCs w:val="22"/>
        </w:rPr>
        <w:t>Por todo lo anterior</w:t>
      </w:r>
      <w:r>
        <w:rPr>
          <w:rFonts w:cs="Verdana" w:ascii="Verdana" w:hAnsi="Verdana"/>
          <w:b/>
          <w:bCs/>
          <w:sz w:val="22"/>
          <w:szCs w:val="22"/>
        </w:rPr>
        <w:t xml:space="preserve"> </w:t>
      </w:r>
      <w:r>
        <w:rPr>
          <w:rFonts w:cs="Verdana" w:ascii="Verdana" w:hAnsi="Verdana"/>
          <w:sz w:val="22"/>
          <w:szCs w:val="22"/>
        </w:rPr>
        <w:t>procede declarar expresamente que están cubiertas las necesidades de suelo destinado a la construcción de viviendas protegidas en este municipio y, en consecuencia, considerando innecesario destinar la totalidad de los bienes integrantes del Patrimonio Público de suelo del  dicho destino, pudiendo destinar dichos bienes a los otros fines que marca la legislación de aplicación.</w:t>
      </w:r>
    </w:p>
    <w:p>
      <w:pPr>
        <w:pStyle w:val="NormalWeb"/>
        <w:jc w:val="left"/>
        <w:rPr>
          <w:rFonts w:ascii="Verdana" w:hAnsi="Verdana" w:cs="Verdana"/>
          <w:sz w:val="22"/>
          <w:szCs w:val="22"/>
        </w:rPr>
      </w:pPr>
      <w:r>
        <w:rPr>
          <w:rFonts w:cs="Verdana" w:ascii="Verdana" w:hAnsi="Verdana"/>
          <w:sz w:val="22"/>
          <w:szCs w:val="22"/>
        </w:rPr>
        <w:t>Todo ello sin perjuicio de que ante nuevas circunstancias que modifiquen la demanda de viviendas protegidas, dará lugar a que se reconsidere el destino del patrimonio municipal del suelo.”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Jiménez (Grupo Mixto: CC) comenta que va a apoyar este punto. Le gustaría que se abordara en este pleno, el tema de la adquisición del suelo a Gestur. Me parece positivo que se pueda poner a disposición de los vecinos suelo urbano a precios asequibles, para la promoción de estas viviendas de autoconstrucción, y teniendo en cuenta además la situación actual de demanda que hay.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Santana (Grupo Mixto: Cs) dice que va a apoyar este punto.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Pide que se aclare si solamente se refiere al sector de Las Crucitas que se ha comprado recientemente, o se refiere a todos los sectores que actualmente están en el municipio.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informe hace referencia a que hay entre 1500 y 1600 demandas de viviendas de cualquier tipo de protección, especialmente  de especial necesidad. Pregunta si el Ayuntamiento tiene previsto iniciar algún tipo de promoción.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pregunta, si no estamos refiriendo al suelo de Las Crucitas, qué quieren hacer con ese suelo concretamente. En la Ley 4/2017 del Suelo y Espacios Protegidos de Canarias, en su artículo 299, se pide un certificado cuando nos referimos a viviendas protegidas, pero nos traslada al punto 2, que tiene diez apartados, y pedimos que nos justificasen qué apartado o letra de ese punto 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Instituto de la Vivienda del Gobierno de Canarias ha solicitado al Ayuntamiento de Agüimes, la entrega de suelo para la construcción de viviendas sociales. </w:t>
        <w:tab/>
        <w:t xml:space="preserve">El mínimo legal es el 30%, pero hay que tener en cuenta la demanda que hay en este municipio.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agradece el apoyo que se muestra a esta propuesta.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Hace unos días el Ayuntamiento adquirió una parcela a GESTUR. Esta entidad está en un procedimiento de liquidación y era propietaria de una parcela de algo más de 8.000 m2, en un suelo urbanizable, en Las Crucitas. Era intención de este Ayuntamiento adquirir ese suelo, porque eso nos sitúa en una posición preferente de cara a la composición de la junta de compensación. Esto nos va a permitir poner a disposición de los vecinos este suelo en unas condiciones más favorables.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Esta propuesta no es solo para el sector urbanizable de Las Crucitas. Esta propuesta es para todos los sectores urbanos no consolidados y para los suelos urbanizables sectorizados ordenados.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suelo que está reservado para viviendas de protección  es muy superior, en el conjunto del municipio, a lo que establece la Ley.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artículo 299.2 nos permite, dado que cumplimos con los estándares que permite la Ley, hacer uso  de este suelo para fines distintos a suelo protegido.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Los diez apartados que tiene el artículo 299.2, se refieren a la utilidad que puede tener ese suelo, distinto de suelo protegido. Puede destinarse a la conservación y mejora del patrimonio, actuaciones sujetas a la renovación o rehabilitación de los espacios públicos, o cualquier otra actividad que se considere de interés social y forme parte del carácter integrado de las operaciones que se generan en este Ayuntamiento, de regeneración urbana.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Instituto Canario de la Vivienda ha solicitado suelo a los municipios. Recuerda que es el Instituto Canario de la Vivienda quien tiene la obligación de promover de viviendas de protección. Esta obligatoriedad no la tiene la Administración Local. La competencia del Ayuntamiento se limita al mantenimiento y la conservación  del parque público de viviendas y a la promoción del suelo, que es justo lo que estamos haciendo.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Cuando el Instituto Canario de la Vivienda se pone en contacto con nosotros, ya le aclaramos que en el sector de Las Crucitas, que se desarrollará gracias a la iniciativa del ayuntamiento de promover la junta de compensación, no solo destinamos el número mínimo de viviendas de protección, sino que además el 10% de aprovechamiento, que podríamos monetarizar, como hace otras administraciones, renunciamos a esta compensación económica para que ese suelo se destine a las viviendas de protección. En Agüimes tenemos 11.000 m2 destinados a algún tipo de viviendas de protección, casi el doble de lo que estamos obligados.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el sector de Arinaga, van a salir 256 viviendas que van a tener algún régimen de protección.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cuanto al listado de demandantes, decir que no se refiere sólo a las personas que quieren adquirir una parcela, sino que también están las que requieren algún tipo de ayuda municipal, de rehabilitación, de accesibilidad, es decir, personas que requieren algún servicio de la oficina de viviendas de este ayuntamiento.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Mario Melián comenta que se van a abstener en este punto. Pide que en lo que queda de legislatura, necesitamos de viviendas de protección de alquiler.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contesta que harán llegar la petición del PSOE al Instituto Canario de la Vivienda, que es el competente en esa materia.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La propuesta municipal quiere ser más ambiciosa en cuanto al destino de suelo, con previsión a que la gente del municipio, se quede en el municipio, y además a un precio más asequible.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relacionado con el suelo destinado a la construcción de viviendas protegidas, el mismo es aprobado con dieciocho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Grupo Mixto: Cs y CC) y dos abstenciones (PSOE).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3.- INTERVENCIÓN</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2021/4819G. MODIFICACIÓN PRESUPUESTOS 2/2021.-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Raúl Martel Vega da cuenta al Pleno, para su aprobación, si procede, del dictamen de la Comisión Informativa de Hacienda, Especial de Cuentas y Administración General, celebrada el día 19 de abril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00"/>
        <w:spacing w:lineRule="auto" w:line="240" w:before="0" w:after="0"/>
        <w:jc w:val="left"/>
        <w:rPr/>
      </w:pPr>
      <w:r>
        <w:rPr>
          <w:rFonts w:cs="Calibri" w:ascii="Verdana" w:hAnsi="Verdana"/>
          <w:b/>
          <w:color w:val="000000"/>
          <w:sz w:val="20"/>
          <w:szCs w:val="20"/>
        </w:rPr>
        <w:t>“</w:t>
      </w:r>
      <w:r>
        <w:rPr>
          <w:rFonts w:cs="Calibri" w:ascii="Verdana" w:hAnsi="Verdana"/>
          <w:b/>
          <w:color w:val="000000"/>
          <w:sz w:val="20"/>
          <w:szCs w:val="20"/>
        </w:rPr>
        <w:t xml:space="preserve">Hacienda. MODIFICACIÓN DE PRESUPUESTOS </w:t>
      </w:r>
      <w:r>
        <w:rPr>
          <w:rFonts w:cs="Calibri" w:ascii="Verdana" w:hAnsi="Verdana"/>
          <w:b/>
          <w:color w:val="000000"/>
          <w:sz w:val="16"/>
          <w:szCs w:val="16"/>
        </w:rPr>
        <w:t>(Exp.:</w:t>
      </w:r>
      <w:r>
        <w:rPr>
          <w:sz w:val="16"/>
          <w:szCs w:val="16"/>
        </w:rPr>
        <w:t xml:space="preserve"> </w:t>
      </w:r>
      <w:r>
        <w:rPr>
          <w:rFonts w:cs="Calibri" w:ascii="Verdana" w:hAnsi="Verdana"/>
          <w:b/>
          <w:color w:val="000000"/>
          <w:sz w:val="16"/>
          <w:szCs w:val="16"/>
        </w:rPr>
        <w:t>2021/00004819G).</w:t>
      </w:r>
    </w:p>
    <w:p>
      <w:pPr>
        <w:pStyle w:val="Normal00"/>
        <w:spacing w:lineRule="auto" w:line="240" w:before="0" w:after="0"/>
        <w:jc w:val="left"/>
        <w:rPr>
          <w:rFonts w:ascii="Verdana" w:hAnsi="Verdana" w:cs="Calibri"/>
          <w:b/>
          <w:b/>
          <w:color w:val="000000"/>
          <w:sz w:val="20"/>
          <w:szCs w:val="20"/>
        </w:rPr>
      </w:pPr>
      <w:r>
        <w:rPr>
          <w:rFonts w:cs="Calibri" w:ascii="Verdana" w:hAnsi="Verdana"/>
          <w:b/>
          <w:color w:val="000000"/>
          <w:sz w:val="20"/>
          <w:szCs w:val="20"/>
        </w:rPr>
      </w:r>
    </w:p>
    <w:p>
      <w:pPr>
        <w:pStyle w:val="Normal0"/>
        <w:jc w:val="left"/>
        <w:rPr/>
      </w:pPr>
      <w:r>
        <w:rPr>
          <w:rFonts w:cs="Calibri" w:ascii="Verdana" w:hAnsi="Verdana"/>
          <w:color w:val="000000"/>
          <w:sz w:val="20"/>
          <w:szCs w:val="20"/>
          <w:lang w:val="es-ES"/>
        </w:rPr>
        <w:t xml:space="preserve">Da cuenta el Presidente de esta Comisión y Concejal del área de Hacienda de este Ayuntamiento: D. Raúl Martel Vega, de la propuesta del área de HACIENDA referida a la </w:t>
      </w:r>
      <w:r>
        <w:rPr>
          <w:rFonts w:cs="Calibri" w:ascii="Verdana" w:hAnsi="Verdana"/>
          <w:b/>
          <w:color w:val="000000"/>
          <w:sz w:val="20"/>
          <w:szCs w:val="20"/>
          <w:lang w:val="es-ES"/>
        </w:rPr>
        <w:t>MODIFICACIÓN DE PRESUPUESTOS</w:t>
      </w:r>
      <w:r>
        <w:rPr>
          <w:rFonts w:cs="Calibri" w:ascii="Verdana" w:hAnsi="Verdana"/>
          <w:color w:val="000000"/>
          <w:sz w:val="20"/>
          <w:szCs w:val="20"/>
          <w:lang w:val="es-ES"/>
        </w:rPr>
        <w:t xml:space="preserve">, con la finalidad de trasladarla ante el Pleno del Ayuntamiento para </w:t>
      </w:r>
      <w:r>
        <w:rPr>
          <w:rFonts w:eastAsia="Calibri" w:cs="Calibri" w:ascii="Verdana" w:hAnsi="Verdana"/>
          <w:color w:val="000000"/>
          <w:sz w:val="20"/>
          <w:szCs w:val="20"/>
          <w:lang w:val="es-ES"/>
        </w:rPr>
        <w:t>su debate y aprobación si procede.</w:t>
      </w:r>
    </w:p>
    <w:p>
      <w:pPr>
        <w:pStyle w:val="Normal0"/>
        <w:jc w:val="left"/>
        <w:rPr>
          <w:rFonts w:ascii="Verdana" w:hAnsi="Verdana" w:eastAsia="Calibri" w:cs="Calibri"/>
          <w:color w:val="000000"/>
          <w:sz w:val="20"/>
          <w:szCs w:val="20"/>
          <w:lang w:val="es-ES"/>
        </w:rPr>
      </w:pPr>
      <w:r>
        <w:rPr>
          <w:rFonts w:eastAsia="Calibri" w:cs="Calibri" w:ascii="Verdana" w:hAnsi="Verdana"/>
          <w:color w:val="000000"/>
          <w:sz w:val="20"/>
          <w:szCs w:val="20"/>
          <w:lang w:val="es-ES"/>
        </w:rPr>
      </w:r>
    </w:p>
    <w:p>
      <w:pPr>
        <w:pStyle w:val="Normal00"/>
        <w:spacing w:lineRule="auto" w:line="240" w:before="0" w:after="0"/>
        <w:jc w:val="left"/>
        <w:rPr>
          <w:rFonts w:ascii="Verdana" w:hAnsi="Verdana" w:eastAsia="Calibri" w:cs="Calibri"/>
          <w:color w:val="000000"/>
          <w:sz w:val="20"/>
          <w:szCs w:val="20"/>
          <w:lang w:val="es-ES"/>
        </w:rPr>
      </w:pPr>
      <w:r>
        <w:rPr>
          <w:rFonts w:eastAsia="Calibri" w:cs="Calibri" w:ascii="Verdana" w:hAnsi="Verdana"/>
          <w:color w:val="000000"/>
          <w:sz w:val="20"/>
          <w:szCs w:val="20"/>
          <w:lang w:val="es-ES"/>
        </w:rPr>
      </w:r>
    </w:p>
    <w:p>
      <w:pPr>
        <w:pStyle w:val="Normal"/>
        <w:shd w:fill="FFFFFF" w:val="clear"/>
        <w:jc w:val="left"/>
        <w:rPr/>
      </w:pPr>
      <w:r>
        <w:rPr>
          <w:rStyle w:val="Documentotitulo1"/>
          <w:rFonts w:cs="Verdana" w:ascii="Verdana" w:hAnsi="Verdana"/>
          <w:b/>
        </w:rPr>
        <w:t>Propuesta de Modificación</w:t>
      </w:r>
    </w:p>
    <w:p>
      <w:pPr>
        <w:pStyle w:val="Normal"/>
        <w:shd w:fill="FFFFFF" w:val="clear"/>
        <w:jc w:val="left"/>
        <w:rPr>
          <w:rStyle w:val="Documentotitulo1"/>
          <w:rFonts w:ascii="Verdana" w:hAnsi="Verdana" w:cs="Verdana"/>
          <w:b/>
          <w:b/>
        </w:rPr>
      </w:pPr>
      <w:r>
        <w:rPr/>
      </w:r>
    </w:p>
    <w:p>
      <w:pPr>
        <w:pStyle w:val="Cuerpodetexto"/>
        <w:spacing w:lineRule="auto" w:line="252" w:before="1" w:after="0"/>
        <w:jc w:val="left"/>
        <w:rPr/>
      </w:pPr>
      <w:r>
        <w:rPr>
          <w:rFonts w:cs="Verdana" w:ascii="Verdana" w:hAnsi="Verdana"/>
        </w:rPr>
        <w:t xml:space="preserve">Raúl </w:t>
      </w:r>
      <w:r>
        <w:rPr>
          <w:rFonts w:cs="Verdana" w:ascii="Verdana" w:hAnsi="Verdana"/>
          <w:spacing w:val="4"/>
        </w:rPr>
        <w:t xml:space="preserve">Martel </w:t>
      </w:r>
      <w:r>
        <w:rPr>
          <w:rFonts w:cs="Verdana" w:ascii="Verdana" w:hAnsi="Verdana"/>
        </w:rPr>
        <w:t xml:space="preserve">Vega, </w:t>
      </w:r>
      <w:r>
        <w:rPr>
          <w:rFonts w:cs="Verdana" w:ascii="Verdana" w:hAnsi="Verdana"/>
          <w:spacing w:val="3"/>
        </w:rPr>
        <w:t xml:space="preserve">Concejal del </w:t>
      </w:r>
      <w:r>
        <w:rPr>
          <w:rFonts w:cs="Verdana" w:ascii="Verdana" w:hAnsi="Verdana"/>
          <w:spacing w:val="5"/>
        </w:rPr>
        <w:t xml:space="preserve">Ayuntamiento </w:t>
      </w:r>
      <w:r>
        <w:rPr>
          <w:rFonts w:cs="Verdana" w:ascii="Verdana" w:hAnsi="Verdana"/>
          <w:spacing w:val="2"/>
        </w:rPr>
        <w:t xml:space="preserve">de </w:t>
      </w:r>
      <w:r>
        <w:rPr>
          <w:rFonts w:cs="Verdana" w:ascii="Verdana" w:hAnsi="Verdana"/>
        </w:rPr>
        <w:t xml:space="preserve">la </w:t>
      </w:r>
      <w:r>
        <w:rPr>
          <w:rFonts w:cs="Verdana" w:ascii="Verdana" w:hAnsi="Verdana"/>
          <w:spacing w:val="2"/>
        </w:rPr>
        <w:t xml:space="preserve">Villa de </w:t>
      </w:r>
      <w:r>
        <w:rPr>
          <w:rFonts w:cs="Verdana" w:ascii="Verdana" w:hAnsi="Verdana"/>
          <w:spacing w:val="3"/>
        </w:rPr>
        <w:t xml:space="preserve">Agüimes, responsable </w:t>
      </w:r>
      <w:r>
        <w:rPr>
          <w:rFonts w:cs="Verdana" w:ascii="Verdana" w:hAnsi="Verdana"/>
          <w:spacing w:val="2"/>
        </w:rPr>
        <w:t xml:space="preserve">de </w:t>
      </w:r>
      <w:r>
        <w:rPr>
          <w:rFonts w:cs="Verdana" w:ascii="Verdana" w:hAnsi="Verdana"/>
        </w:rPr>
        <w:t xml:space="preserve">las </w:t>
      </w:r>
      <w:r>
        <w:rPr>
          <w:rFonts w:cs="Verdana" w:ascii="Verdana" w:hAnsi="Verdana"/>
          <w:spacing w:val="3"/>
        </w:rPr>
        <w:t xml:space="preserve">áreas </w:t>
      </w:r>
      <w:r>
        <w:rPr>
          <w:rFonts w:cs="Verdana" w:ascii="Verdana" w:hAnsi="Verdana"/>
          <w:spacing w:val="2"/>
        </w:rPr>
        <w:t xml:space="preserve">de Hacienda </w:t>
      </w:r>
      <w:r>
        <w:rPr>
          <w:rFonts w:cs="Verdana" w:ascii="Verdana" w:hAnsi="Verdana"/>
        </w:rPr>
        <w:t xml:space="preserve">e </w:t>
      </w:r>
      <w:r>
        <w:rPr>
          <w:rFonts w:cs="Verdana" w:ascii="Verdana" w:hAnsi="Verdana"/>
          <w:spacing w:val="5"/>
        </w:rPr>
        <w:t xml:space="preserve">Industrial, </w:t>
      </w:r>
      <w:r>
        <w:rPr>
          <w:rFonts w:cs="Verdana" w:ascii="Verdana" w:hAnsi="Verdana"/>
        </w:rPr>
        <w:t xml:space="preserve">con la </w:t>
      </w:r>
      <w:r>
        <w:rPr>
          <w:rFonts w:cs="Verdana" w:ascii="Verdana" w:hAnsi="Verdana"/>
          <w:spacing w:val="3"/>
        </w:rPr>
        <w:t xml:space="preserve">finalidad </w:t>
      </w:r>
      <w:r>
        <w:rPr>
          <w:rFonts w:cs="Verdana" w:ascii="Verdana" w:hAnsi="Verdana"/>
          <w:spacing w:val="2"/>
        </w:rPr>
        <w:t xml:space="preserve">de </w:t>
      </w:r>
      <w:r>
        <w:rPr>
          <w:rFonts w:cs="Verdana" w:ascii="Verdana" w:hAnsi="Verdana"/>
          <w:spacing w:val="3"/>
        </w:rPr>
        <w:t xml:space="preserve">que sea aprobado por el </w:t>
      </w:r>
      <w:r>
        <w:rPr>
          <w:rFonts w:cs="Verdana" w:ascii="Verdana" w:hAnsi="Verdana"/>
          <w:spacing w:val="2"/>
        </w:rPr>
        <w:t xml:space="preserve">Pleno </w:t>
      </w:r>
      <w:r>
        <w:rPr>
          <w:rFonts w:cs="Verdana" w:ascii="Verdana" w:hAnsi="Verdana"/>
          <w:spacing w:val="3"/>
        </w:rPr>
        <w:t>Municipal la MODIFICACIÓN DEL PRESUPUESTO 2021 NUMERO 2/2021</w:t>
      </w:r>
      <w:r>
        <w:rPr>
          <w:rFonts w:cs="Verdana" w:ascii="Verdana" w:hAnsi="Verdana"/>
          <w:spacing w:val="5"/>
        </w:rPr>
        <w:t>;</w:t>
      </w:r>
    </w:p>
    <w:p>
      <w:pPr>
        <w:pStyle w:val="NormalWeb"/>
        <w:shd w:fill="FFFFFF" w:val="clear"/>
        <w:jc w:val="left"/>
        <w:rPr/>
      </w:pPr>
      <w:r>
        <w:rPr>
          <w:rFonts w:cs="Verdana" w:ascii="Verdana" w:hAnsi="Verdana"/>
          <w:sz w:val="20"/>
          <w:szCs w:val="20"/>
        </w:rPr>
        <w:t xml:space="preserve">Resultando que, mediante Resolución de fecha </w:t>
      </w:r>
      <w:r>
        <w:rPr>
          <w:rFonts w:cs="Verdana" w:ascii="Verdana" w:hAnsi="Verdana"/>
          <w:b/>
          <w:sz w:val="20"/>
          <w:szCs w:val="20"/>
        </w:rPr>
        <w:t>15 de abril de 2021</w:t>
      </w:r>
      <w:r>
        <w:rPr>
          <w:rFonts w:cs="Verdana" w:ascii="Verdana" w:hAnsi="Verdana"/>
          <w:sz w:val="20"/>
          <w:szCs w:val="20"/>
        </w:rPr>
        <w:t xml:space="preserve">, se ha incoado expediente de </w:t>
      </w:r>
      <w:r>
        <w:rPr>
          <w:rStyle w:val="Resalte"/>
          <w:rFonts w:cs="Verdana" w:ascii="Verdana" w:hAnsi="Verdana"/>
          <w:sz w:val="20"/>
          <w:szCs w:val="20"/>
        </w:rPr>
        <w:t xml:space="preserve">modificación del presupuesto </w:t>
      </w:r>
      <w:r>
        <w:rPr>
          <w:rFonts w:cs="Verdana" w:ascii="Verdana" w:hAnsi="Verdana"/>
          <w:sz w:val="20"/>
          <w:szCs w:val="20"/>
        </w:rPr>
        <w:t xml:space="preserve">mediante </w:t>
      </w:r>
      <w:r>
        <w:rPr>
          <w:rStyle w:val="Destacado"/>
          <w:rFonts w:cs="Verdana" w:ascii="Verdana" w:hAnsi="Verdana"/>
          <w:i w:val="false"/>
          <w:sz w:val="20"/>
          <w:szCs w:val="20"/>
        </w:rPr>
        <w:t>CRÉDITOS EXTRAORDINARIOS</w:t>
      </w:r>
      <w:r>
        <w:rPr>
          <w:rFonts w:cs="Verdana" w:ascii="Verdana" w:hAnsi="Verdana"/>
          <w:i/>
          <w:sz w:val="20"/>
          <w:szCs w:val="20"/>
        </w:rPr>
        <w:t xml:space="preserve"> Y </w:t>
      </w:r>
      <w:r>
        <w:rPr>
          <w:rStyle w:val="Destacado"/>
          <w:rFonts w:cs="Verdana" w:ascii="Verdana" w:hAnsi="Verdana"/>
          <w:i w:val="false"/>
          <w:sz w:val="20"/>
          <w:szCs w:val="20"/>
        </w:rPr>
        <w:t xml:space="preserve">SUPLEMENTOS DE CRÉDITOS </w:t>
      </w:r>
      <w:r>
        <w:rPr>
          <w:rFonts w:cs="Verdana" w:ascii="Verdana" w:hAnsi="Verdana"/>
          <w:sz w:val="20"/>
          <w:szCs w:val="20"/>
        </w:rPr>
        <w:t>FINANCIADA CON CRÉDITOS PROCEDENTES DE OTRAS APLICACIONES PRESUPUESTARIAS DE DIFERENTE ÁREA, CON LA CONSIGUIENTE DISMINUCIÓN DEL CRÉDITO DE ÉSTAS, Y CON REMANENTE DE TESORERÍA PARA GASTOS GENERALES DISPONIBLE procedente de la liquidación del presupuesto del ejercicio 2020; habida cuenta de la suspensión de las reglas fiscales.</w:t>
      </w:r>
    </w:p>
    <w:p>
      <w:pPr>
        <w:pStyle w:val="NormalWeb"/>
        <w:shd w:fill="FFFFFF" w:val="clear"/>
        <w:jc w:val="left"/>
        <w:rPr>
          <w:rFonts w:ascii="Verdana" w:hAnsi="Verdana" w:cs="Verdana"/>
          <w:sz w:val="20"/>
          <w:szCs w:val="20"/>
        </w:rPr>
      </w:pPr>
      <w:r>
        <w:rPr>
          <w:rFonts w:cs="Verdana" w:ascii="Verdana" w:hAnsi="Verdana"/>
          <w:sz w:val="20"/>
          <w:szCs w:val="20"/>
        </w:rPr>
        <w:t>Resultando que la actividad que promueve este Ayuntamiento en el ámbito de sus competencias exigen la realización de gastos de carácter específico y determinado para los que no existen o son insuficientes los créditos existentes del vigente presupuesto y que no pueden demorarse hasta el ejercicio siguiente, puesto que podrían perjudicarse los servicios y actividades que presta el Ayuntamiento.</w:t>
      </w:r>
    </w:p>
    <w:p>
      <w:pPr>
        <w:pStyle w:val="NormalWeb"/>
        <w:shd w:fill="FFFFFF" w:val="clear"/>
        <w:jc w:val="left"/>
        <w:rPr/>
      </w:pPr>
      <w:r>
        <w:rPr>
          <w:rFonts w:cs="Verdana" w:ascii="Verdana" w:hAnsi="Verdana"/>
          <w:sz w:val="20"/>
          <w:szCs w:val="20"/>
        </w:rPr>
        <w:t xml:space="preserve">Vistos el informe emitido por la Intervención Municipal sobre el cumplimiento de los objetivos de estabilidad presupuestaria y regla de gasto, y sobre la posibilidad de utilización del citado </w:t>
      </w:r>
      <w:r>
        <w:rPr>
          <w:rStyle w:val="Resalte"/>
          <w:rFonts w:cs="Verdana" w:ascii="Verdana" w:hAnsi="Verdana"/>
          <w:sz w:val="20"/>
          <w:szCs w:val="20"/>
        </w:rPr>
        <w:t xml:space="preserve">remanente </w:t>
      </w:r>
      <w:r>
        <w:rPr>
          <w:rFonts w:cs="Verdana" w:ascii="Verdana" w:hAnsi="Verdana"/>
          <w:sz w:val="20"/>
          <w:szCs w:val="20"/>
        </w:rPr>
        <w:t>de tesorería para gastos generales que constan en el expediente y teniendo en cuenta la suspensión de las reglas fiscales acordada por el el Acuerdo del Consejo de Ministros de 6 de octubre de 2020, presentado en el Congreso de los Diputados el 13 de octubre de 2020 para su autorización, y aprobado por esta Cámara en sesión de 20 de octubre de 2020.</w:t>
      </w:r>
    </w:p>
    <w:p>
      <w:pPr>
        <w:pStyle w:val="NormalWeb"/>
        <w:shd w:fill="FFFFFF" w:val="clear"/>
        <w:jc w:val="left"/>
        <w:rPr>
          <w:rFonts w:ascii="Verdana" w:hAnsi="Verdana" w:cs="Verdana"/>
          <w:color w:val="292929"/>
          <w:sz w:val="20"/>
          <w:szCs w:val="20"/>
        </w:rPr>
      </w:pPr>
      <w:r>
        <w:rPr>
          <w:rFonts w:cs="Verdana" w:ascii="Verdana" w:hAnsi="Verdana"/>
          <w:color w:val="292929"/>
          <w:sz w:val="20"/>
          <w:szCs w:val="20"/>
        </w:rPr>
        <w:t>Considerando lo que prevé el artículo 177 del Real Decreto Legislativo 2/2004, de 5 de marzo, por el que se aprueba el texto refundido de la Ley Reguladora de las Haciendas Locales -TRLRHL-y el citado artículo 36.1-c) del mencionado Real Decreto 500/1990, de 20 de abril, por el que se desarrolla el Capítulo I del Título VI de la Ley 39/1988, de 28 de diciembre, Reguladora de las Haciendas Locales, en materia de Presupuestos.</w:t>
      </w:r>
    </w:p>
    <w:p>
      <w:pPr>
        <w:pStyle w:val="NormalWeb"/>
        <w:shd w:fill="FFFFFF" w:val="clear"/>
        <w:jc w:val="left"/>
        <w:rPr/>
      </w:pPr>
      <w:r>
        <w:rPr>
          <w:rFonts w:cs="Verdana" w:ascii="Verdana" w:hAnsi="Verdana"/>
          <w:color w:val="292929"/>
          <w:sz w:val="20"/>
          <w:szCs w:val="20"/>
        </w:rPr>
        <w:t xml:space="preserve">En virtud de lo expuesto, </w:t>
      </w:r>
      <w:r>
        <w:rPr>
          <w:rStyle w:val="Destacado"/>
          <w:rFonts w:cs="Verdana" w:ascii="Verdana" w:hAnsi="Verdana"/>
          <w:i w:val="false"/>
          <w:color w:val="292929"/>
          <w:sz w:val="20"/>
          <w:szCs w:val="20"/>
        </w:rPr>
        <w:t>presento a</w:t>
      </w:r>
      <w:r>
        <w:rPr>
          <w:rStyle w:val="Destacado"/>
          <w:rFonts w:cs="Verdana" w:ascii="Verdana" w:hAnsi="Verdana"/>
          <w:color w:val="292929"/>
          <w:sz w:val="20"/>
          <w:szCs w:val="20"/>
        </w:rPr>
        <w:t xml:space="preserve"> </w:t>
      </w:r>
      <w:r>
        <w:rPr>
          <w:rFonts w:cs="Verdana" w:ascii="Verdana" w:hAnsi="Verdana"/>
          <w:color w:val="292929"/>
          <w:sz w:val="20"/>
          <w:szCs w:val="20"/>
        </w:rPr>
        <w:t>la Comisión Informativa para emita dictamen y después elevar al Pleno de la Corporación la siguiente</w:t>
      </w:r>
      <w:r>
        <w:rPr>
          <w:rFonts w:cs="Verdana" w:ascii="Verdana" w:hAnsi="Verdana"/>
          <w:i/>
          <w:color w:val="292929"/>
          <w:sz w:val="20"/>
          <w:szCs w:val="20"/>
        </w:rPr>
        <w:t>,</w:t>
      </w:r>
    </w:p>
    <w:p>
      <w:pPr>
        <w:pStyle w:val="NormalWeb"/>
        <w:shd w:fill="FFFFFF" w:val="clear"/>
        <w:jc w:val="left"/>
        <w:rPr/>
      </w:pPr>
      <w:r>
        <w:rPr>
          <w:rStyle w:val="Muydestacado"/>
          <w:rFonts w:cs="Verdana" w:ascii="Verdana" w:hAnsi="Verdana"/>
          <w:color w:val="292929"/>
          <w:sz w:val="20"/>
          <w:szCs w:val="20"/>
        </w:rPr>
        <w:t>PROPUESTA DE ACUERDO</w:t>
      </w:r>
    </w:p>
    <w:p>
      <w:pPr>
        <w:pStyle w:val="NormalWeb"/>
        <w:shd w:fill="FFFFFF" w:val="clear"/>
        <w:jc w:val="left"/>
        <w:rPr/>
      </w:pPr>
      <w:r>
        <w:rPr>
          <w:rStyle w:val="Muydestacado"/>
          <w:rFonts w:cs="Verdana" w:ascii="Verdana" w:hAnsi="Verdana"/>
          <w:color w:val="292929"/>
          <w:sz w:val="20"/>
          <w:szCs w:val="20"/>
        </w:rPr>
        <w:t>PRIMERO</w:t>
      </w:r>
      <w:r>
        <w:rPr>
          <w:rFonts w:cs="Verdana" w:ascii="Verdana" w:hAnsi="Verdana"/>
          <w:color w:val="292929"/>
          <w:sz w:val="20"/>
          <w:szCs w:val="20"/>
        </w:rPr>
        <w:t xml:space="preserve">.- Aprobar inicialmente el expediente 2/2021 de modificación de créditos mediante </w:t>
      </w:r>
      <w:r>
        <w:rPr>
          <w:rStyle w:val="Destacado"/>
          <w:rFonts w:cs="Verdana" w:ascii="Verdana" w:hAnsi="Verdana"/>
          <w:i w:val="false"/>
          <w:sz w:val="20"/>
          <w:szCs w:val="20"/>
        </w:rPr>
        <w:t>CRÉDITOS EXTRAORDINARIOS</w:t>
      </w:r>
      <w:r>
        <w:rPr>
          <w:rFonts w:cs="Verdana" w:ascii="Verdana" w:hAnsi="Verdana"/>
          <w:i/>
          <w:sz w:val="20"/>
          <w:szCs w:val="20"/>
        </w:rPr>
        <w:t xml:space="preserve"> Y </w:t>
      </w:r>
      <w:r>
        <w:rPr>
          <w:rStyle w:val="Destacado"/>
          <w:rFonts w:cs="Verdana" w:ascii="Verdana" w:hAnsi="Verdana"/>
          <w:i w:val="false"/>
          <w:sz w:val="20"/>
          <w:szCs w:val="20"/>
        </w:rPr>
        <w:t xml:space="preserve">SUPLEMENTOS DE CRÉDITOS </w:t>
      </w:r>
      <w:r>
        <w:rPr>
          <w:rFonts w:cs="Verdana" w:ascii="Verdana" w:hAnsi="Verdana"/>
          <w:sz w:val="20"/>
          <w:szCs w:val="20"/>
        </w:rPr>
        <w:t>FINANCIADA CON CRÉDITOS PROCEDENTES DE OTRAS APLICACIONES PRESUPUESTARIAS DE DIFERENTE ÁREA, CON LA CONSIGUIENTE DISMINUCIÓN DEL CRÉDITO DE ÉSTAS, Y CON REMANENTE DE TESORERÍA PARA GASTOS GENERALES DISPONIBLE procedente de la liquidación del presupuesto del ejercicio 2020, cuyo resumen es el siguiente</w:t>
      </w:r>
      <w:r>
        <w:rPr>
          <w:rFonts w:cs="Verdana" w:ascii="Verdana" w:hAnsi="Verdana"/>
          <w:color w:val="292929"/>
          <w:sz w:val="20"/>
          <w:szCs w:val="20"/>
        </w:rPr>
        <w:t>:</w:t>
      </w:r>
    </w:p>
    <w:p>
      <w:pPr>
        <w:pStyle w:val="NormalWeb"/>
        <w:shd w:fill="FFFFFF" w:val="clear"/>
        <w:jc w:val="left"/>
        <w:rPr>
          <w:rFonts w:ascii="Verdana" w:hAnsi="Verdana" w:cs="Verdana"/>
          <w:color w:val="292929"/>
          <w:sz w:val="20"/>
          <w:szCs w:val="20"/>
        </w:rPr>
      </w:pPr>
      <w:r>
        <w:rPr/>
      </w:r>
    </w:p>
    <w:p>
      <w:pPr>
        <w:pStyle w:val="NormalWeb"/>
        <w:numPr>
          <w:ilvl w:val="0"/>
          <w:numId w:val="2"/>
        </w:numPr>
        <w:shd w:fill="FFFFFF" w:val="clear"/>
        <w:tabs>
          <w:tab w:val="clear" w:pos="709"/>
          <w:tab w:val="left" w:pos="284" w:leader="none"/>
        </w:tabs>
        <w:spacing w:before="280" w:after="280"/>
        <w:ind w:left="0" w:right="0" w:hanging="0"/>
        <w:jc w:val="left"/>
        <w:rPr/>
      </w:pPr>
      <w:r>
        <w:rPr>
          <w:rFonts w:cs="Verdana" w:ascii="Verdana" w:hAnsi="Verdana"/>
          <w:color w:val="292929"/>
          <w:sz w:val="20"/>
          <w:szCs w:val="20"/>
        </w:rPr>
        <w:t>Financiados con bajas de créditos de otras aplicaciones presupuestarias-</w:t>
      </w:r>
      <w:r>
        <w:rPr>
          <w:szCs w:val="20"/>
          <w:lang w:val="es-ES" w:eastAsia="es-ES"/>
        </w:rPr>
        <w:drawing>
          <wp:inline distT="0" distB="0" distL="0" distR="0">
            <wp:extent cx="5575300" cy="7150100"/>
            <wp:effectExtent l="0" t="0" r="0" b="0"/>
            <wp:docPr id="3"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descr=""/>
                    <pic:cNvPicPr>
                      <a:picLocks noChangeAspect="1" noChangeArrowheads="1"/>
                    </pic:cNvPicPr>
                  </pic:nvPicPr>
                  <pic:blipFill>
                    <a:blip r:embed="rId4"/>
                    <a:srcRect l="-5" t="-4" r="-5" b="-4"/>
                    <a:stretch>
                      <a:fillRect/>
                    </a:stretch>
                  </pic:blipFill>
                  <pic:spPr bwMode="auto">
                    <a:xfrm>
                      <a:off x="0" y="0"/>
                      <a:ext cx="5575300" cy="7150100"/>
                    </a:xfrm>
                    <a:prstGeom prst="rect">
                      <a:avLst/>
                    </a:prstGeom>
                  </pic:spPr>
                </pic:pic>
              </a:graphicData>
            </a:graphic>
          </wp:inline>
        </w:drawing>
      </w:r>
    </w:p>
    <w:p>
      <w:pPr>
        <w:pStyle w:val="NormalWeb"/>
        <w:shd w:fill="FFFFFF" w:val="clear"/>
        <w:jc w:val="left"/>
        <w:rPr>
          <w:szCs w:val="20"/>
        </w:rPr>
      </w:pPr>
      <w:r>
        <w:rPr>
          <w:szCs w:val="20"/>
        </w:rPr>
      </w:r>
    </w:p>
    <w:p>
      <w:pPr>
        <w:pStyle w:val="NormalWeb"/>
        <w:numPr>
          <w:ilvl w:val="0"/>
          <w:numId w:val="2"/>
        </w:numPr>
        <w:shd w:fill="FFFFFF" w:val="clear"/>
        <w:spacing w:before="280" w:after="280"/>
        <w:jc w:val="left"/>
        <w:rPr>
          <w:rFonts w:ascii="Verdana" w:hAnsi="Verdana" w:cs="Verdana"/>
          <w:color w:val="292929"/>
          <w:sz w:val="20"/>
          <w:szCs w:val="20"/>
        </w:rPr>
      </w:pPr>
      <w:r>
        <w:rPr>
          <w:rFonts w:cs="Verdana" w:ascii="Verdana" w:hAnsi="Verdana"/>
          <w:color w:val="292929"/>
          <w:sz w:val="20"/>
          <w:szCs w:val="20"/>
        </w:rPr>
        <w:t>Financiados con Remanentes de Tesorería para Gastos Generales disponibles-</w:t>
      </w:r>
    </w:p>
    <w:p>
      <w:pPr>
        <w:pStyle w:val="NormalWeb"/>
        <w:shd w:fill="FFFFFF" w:val="clear"/>
        <w:jc w:val="left"/>
        <w:rPr>
          <w:szCs w:val="20"/>
          <w:lang w:val="es-ES" w:eastAsia="es-ES"/>
        </w:rPr>
      </w:pPr>
      <w:r>
        <w:rPr>
          <w:szCs w:val="20"/>
          <w:lang w:val="es-ES" w:eastAsia="es-ES"/>
        </w:rPr>
        <w:drawing>
          <wp:inline distT="0" distB="0" distL="0" distR="0">
            <wp:extent cx="5438140" cy="7764145"/>
            <wp:effectExtent l="0" t="0" r="0" b="0"/>
            <wp:docPr id="4"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descr=""/>
                    <pic:cNvPicPr>
                      <a:picLocks noChangeAspect="1" noChangeArrowheads="1"/>
                    </pic:cNvPicPr>
                  </pic:nvPicPr>
                  <pic:blipFill>
                    <a:blip r:embed="rId5"/>
                    <a:srcRect l="-5" t="-4" r="-5" b="-4"/>
                    <a:stretch>
                      <a:fillRect/>
                    </a:stretch>
                  </pic:blipFill>
                  <pic:spPr bwMode="auto">
                    <a:xfrm>
                      <a:off x="0" y="0"/>
                      <a:ext cx="5438140" cy="7764145"/>
                    </a:xfrm>
                    <a:prstGeom prst="rect">
                      <a:avLst/>
                    </a:prstGeom>
                  </pic:spPr>
                </pic:pic>
              </a:graphicData>
            </a:graphic>
          </wp:inline>
        </w:drawing>
      </w:r>
    </w:p>
    <w:p>
      <w:pPr>
        <w:pStyle w:val="NormalWeb"/>
        <w:shd w:fill="FFFFFF" w:val="clear"/>
        <w:spacing w:lineRule="auto" w:before="0" w:after="0"/>
        <w:jc w:val="left"/>
        <w:rPr/>
      </w:pPr>
      <w:r>
        <w:rPr>
          <w:rStyle w:val="Muydestacado"/>
          <w:rFonts w:cs="Verdana" w:ascii="Verdana" w:hAnsi="Verdana"/>
          <w:color w:val="292929"/>
          <w:sz w:val="20"/>
          <w:szCs w:val="20"/>
        </w:rPr>
        <w:t>SEGUNDO</w:t>
      </w:r>
      <w:r>
        <w:rPr>
          <w:rFonts w:cs="Verdana" w:ascii="Verdana" w:hAnsi="Verdana"/>
          <w:color w:val="292929"/>
          <w:sz w:val="20"/>
          <w:szCs w:val="20"/>
        </w:rPr>
        <w:t xml:space="preserve">.- Declarar necesarios y urgentes los referidos gastos y la insuficiencia de otros medios para su financiación, que se realizará mediante </w:t>
      </w:r>
      <w:r>
        <w:rPr>
          <w:rFonts w:cs="Verdana" w:ascii="Verdana" w:hAnsi="Verdana"/>
          <w:sz w:val="20"/>
          <w:szCs w:val="20"/>
        </w:rPr>
        <w:t>créditos procedentes de otras aplicaciones presupuestarias de diferente área, con la consiguiente disminución del crédito de éstas, y con Remanente de Tesorería para gastos generales disponible procedente de la Liquidación del presupuesto del ejercicio 2020</w:t>
      </w:r>
      <w:r>
        <w:rPr>
          <w:rFonts w:cs="Verdana" w:ascii="Verdana" w:hAnsi="Verdana"/>
          <w:color w:val="292929"/>
          <w:sz w:val="20"/>
          <w:szCs w:val="20"/>
        </w:rPr>
        <w:t xml:space="preserve"> por el importe de la modificación.</w:t>
      </w:r>
    </w:p>
    <w:p>
      <w:pPr>
        <w:pStyle w:val="NormalWeb"/>
        <w:shd w:fill="FFFFFF" w:val="clear"/>
        <w:spacing w:lineRule="auto" w:before="0" w:after="0"/>
        <w:jc w:val="left"/>
        <w:rPr/>
      </w:pPr>
      <w:r>
        <w:rPr>
          <w:rStyle w:val="Muydestacado"/>
          <w:rFonts w:cs="Verdana" w:ascii="Verdana" w:hAnsi="Verdana"/>
          <w:color w:val="292929"/>
          <w:sz w:val="20"/>
          <w:szCs w:val="20"/>
        </w:rPr>
        <w:t xml:space="preserve">TERCERO.- </w:t>
      </w:r>
      <w:r>
        <w:rPr>
          <w:rFonts w:cs="Verdana" w:ascii="Verdana" w:hAnsi="Verdana"/>
          <w:color w:val="292929"/>
          <w:sz w:val="20"/>
          <w:szCs w:val="20"/>
        </w:rPr>
        <w:t>Exponer al público la aprobación inicial en el tablón de anuncios y en el Boletín Oficial de la Provincia</w:t>
      </w:r>
      <w:r>
        <w:rPr>
          <w:rStyle w:val="Destacado"/>
          <w:rFonts w:cs="Verdana" w:ascii="Verdana" w:hAnsi="Verdana"/>
          <w:color w:val="292929"/>
          <w:sz w:val="20"/>
          <w:szCs w:val="20"/>
        </w:rPr>
        <w:t xml:space="preserve"> </w:t>
      </w:r>
      <w:r>
        <w:rPr>
          <w:rFonts w:cs="Verdana" w:ascii="Verdana" w:hAnsi="Verdana"/>
          <w:color w:val="292929"/>
          <w:sz w:val="20"/>
          <w:szCs w:val="20"/>
        </w:rPr>
        <w:t>por un período de quince días hábiles, contados desde el día siguiente a su publicación en el Boletín Oficial de la Provincia</w:t>
      </w:r>
      <w:r>
        <w:rPr>
          <w:rStyle w:val="Destacado"/>
          <w:rFonts w:cs="Verdana" w:ascii="Verdana" w:hAnsi="Verdana"/>
          <w:color w:val="292929"/>
          <w:sz w:val="20"/>
          <w:szCs w:val="20"/>
        </w:rPr>
        <w:t xml:space="preserve">, </w:t>
      </w:r>
      <w:r>
        <w:rPr>
          <w:rFonts w:cs="Verdana" w:ascii="Verdana" w:hAnsi="Verdana"/>
          <w:color w:val="292929"/>
          <w:sz w:val="20"/>
          <w:szCs w:val="20"/>
        </w:rPr>
        <w:t>poniendo a disposición del público la documentación correspondiente, durante el citado plazo los interesados podrán examinar la documentación y presentar reclamaciones ante el Pleno de la Corporación.</w:t>
      </w:r>
    </w:p>
    <w:p>
      <w:pPr>
        <w:pStyle w:val="NormalWeb"/>
        <w:shd w:fill="FFFFFF" w:val="clear"/>
        <w:spacing w:lineRule="auto" w:before="0" w:after="0"/>
        <w:jc w:val="left"/>
        <w:rPr/>
      </w:pPr>
      <w:r>
        <w:rPr>
          <w:rStyle w:val="Muydestacado"/>
          <w:rFonts w:cs="Verdana" w:ascii="Verdana" w:hAnsi="Verdana"/>
          <w:sz w:val="20"/>
          <w:szCs w:val="20"/>
        </w:rPr>
        <w:t>CUARTO</w:t>
      </w:r>
      <w:r>
        <w:rPr>
          <w:rFonts w:cs="Verdana" w:ascii="Verdana" w:hAnsi="Verdana"/>
          <w:sz w:val="20"/>
          <w:szCs w:val="20"/>
        </w:rPr>
        <w:t xml:space="preserve">.- Que se dé cuenta al Pleno del Ayuntamiento de las reclamaciones y sugerencias que se formulen, que se resolverán </w:t>
      </w:r>
      <w:r>
        <w:rPr>
          <w:rStyle w:val="Resalte"/>
          <w:rFonts w:cs="Verdana" w:ascii="Verdana" w:hAnsi="Verdana"/>
          <w:sz w:val="20"/>
          <w:szCs w:val="20"/>
        </w:rPr>
        <w:t xml:space="preserve">con </w:t>
      </w:r>
      <w:r>
        <w:rPr>
          <w:rFonts w:cs="Verdana" w:ascii="Verdana" w:hAnsi="Verdana"/>
          <w:sz w:val="20"/>
          <w:szCs w:val="20"/>
        </w:rPr>
        <w:t>carácter definitivo, o en caso de que no se presenten, el acuerdo provisional se elevará automáticamente a definitivo.</w:t>
      </w:r>
    </w:p>
    <w:p>
      <w:pPr>
        <w:pStyle w:val="NormalWeb"/>
        <w:shd w:fill="FFFFFF" w:val="clear"/>
        <w:spacing w:lineRule="auto" w:before="0" w:after="0"/>
        <w:jc w:val="left"/>
        <w:rPr/>
      </w:pPr>
      <w:r>
        <w:rPr>
          <w:rStyle w:val="Muydestacado"/>
          <w:rFonts w:cs="Verdana" w:ascii="Verdana" w:hAnsi="Verdana"/>
          <w:color w:val="292929"/>
          <w:sz w:val="20"/>
          <w:szCs w:val="20"/>
        </w:rPr>
        <w:t xml:space="preserve">QUINTO.- </w:t>
      </w:r>
      <w:r>
        <w:rPr>
          <w:rFonts w:cs="Verdana" w:ascii="Verdana" w:hAnsi="Verdana"/>
          <w:color w:val="292929"/>
          <w:sz w:val="20"/>
          <w:szCs w:val="20"/>
        </w:rPr>
        <w:t>El acuerdo de aprobación definitiva y el resumen por capítulos de la modificación de créditos deberá publicarse en el Boletín Oficial de la Provincia para su vigencia e impugnación jurisdiccional.</w:t>
      </w:r>
    </w:p>
    <w:p>
      <w:pPr>
        <w:pStyle w:val="Normal"/>
        <w:spacing w:lineRule="auto"/>
        <w:jc w:val="left"/>
        <w:rPr/>
      </w:pPr>
      <w:r>
        <w:rPr>
          <w:rStyle w:val="Muydestacado"/>
          <w:rFonts w:cs="Verdana" w:ascii="Verdana" w:hAnsi="Verdana"/>
          <w:color w:val="292929"/>
        </w:rPr>
        <w:t xml:space="preserve">SEXTO.- </w:t>
      </w:r>
      <w:r>
        <w:rPr>
          <w:rFonts w:cs="Times New Roman" w:ascii="Verdana" w:hAnsi="Verdana"/>
          <w:color w:val="292929"/>
          <w:sz w:val="20"/>
          <w:szCs w:val="20"/>
        </w:rPr>
        <w:t>Del expediente de la modificación de créditos definitivamente aprobada, se remitirá copia a la Dirección General de Administración Territorial y Gobernación del Gobierno de Canarias, y  a la Delegación de Hacienda de la Provincia de Las Palmas, simultáneamente a su remisión al Boletín Oficial de la Provincia</w:t>
      </w:r>
      <w:r>
        <w:rPr>
          <w:rFonts w:cs="Times New Roman"/>
          <w:i/>
          <w:iCs/>
          <w:sz w:val="20"/>
          <w:szCs w:val="20"/>
        </w:rPr>
        <w:t>.</w:t>
      </w:r>
    </w:p>
    <w:p>
      <w:pPr>
        <w:pStyle w:val="Normal00"/>
        <w:spacing w:lineRule="auto" w:before="0" w:after="0"/>
        <w:jc w:val="left"/>
        <w:rPr>
          <w:rFonts w:ascii="Verdana" w:hAnsi="Verdana" w:cs="Calibri"/>
          <w:color w:val="000000"/>
          <w:sz w:val="20"/>
          <w:szCs w:val="20"/>
        </w:rPr>
      </w:pPr>
      <w:r>
        <w:rPr>
          <w:rFonts w:cs="Calibri" w:ascii="Verdana" w:hAnsi="Verdana"/>
          <w:color w:val="000000"/>
          <w:sz w:val="20"/>
          <w:szCs w:val="20"/>
        </w:rPr>
      </w:r>
    </w:p>
    <w:p>
      <w:pPr>
        <w:pStyle w:val="Normal00"/>
        <w:autoSpaceDE w:val="false"/>
        <w:spacing w:lineRule="auto" w:line="240" w:before="0" w:after="0"/>
        <w:jc w:val="left"/>
        <w:rPr/>
      </w:pPr>
      <w:r>
        <w:rPr>
          <w:rFonts w:cs="ArialMT" w:ascii="Verdana" w:hAnsi="Verdana"/>
          <w:sz w:val="20"/>
          <w:szCs w:val="20"/>
        </w:rPr>
        <w:t>Los miembros de esta Comisión, consultado el expediente y los informes y tras las explicaciones oportunas dictaminan  favorable, con la anuencia de todos los Concejales, sobre el traslado ante el PLENO MUNICIPAL, para su APROBACIÓN, d</w:t>
      </w:r>
      <w:r>
        <w:rPr>
          <w:rFonts w:cs="Verdana" w:ascii="Verdana" w:hAnsi="Verdana"/>
          <w:color w:val="292929"/>
          <w:sz w:val="20"/>
          <w:szCs w:val="20"/>
        </w:rPr>
        <w:t xml:space="preserve">el expediente 2/2021 de modificación de créditos mediante </w:t>
      </w:r>
      <w:r>
        <w:rPr>
          <w:rStyle w:val="Destacado"/>
          <w:rFonts w:cs="Verdana" w:ascii="Verdana" w:hAnsi="Verdana"/>
          <w:i w:val="false"/>
          <w:sz w:val="20"/>
          <w:szCs w:val="20"/>
        </w:rPr>
        <w:t>CRÉDITOS EXTRAORDINARIOS</w:t>
      </w:r>
      <w:r>
        <w:rPr>
          <w:rFonts w:cs="Verdana" w:ascii="Verdana" w:hAnsi="Verdana"/>
          <w:i/>
          <w:sz w:val="20"/>
          <w:szCs w:val="20"/>
        </w:rPr>
        <w:t xml:space="preserve"> Y </w:t>
      </w:r>
      <w:r>
        <w:rPr>
          <w:rStyle w:val="Destacado"/>
          <w:rFonts w:cs="Verdana" w:ascii="Verdana" w:hAnsi="Verdana"/>
          <w:i w:val="false"/>
          <w:sz w:val="20"/>
          <w:szCs w:val="20"/>
        </w:rPr>
        <w:t xml:space="preserve">SUPLEMENTOS DE CRÉDITOS </w:t>
      </w:r>
      <w:r>
        <w:rPr>
          <w:rFonts w:cs="Verdana" w:ascii="Verdana" w:hAnsi="Verdana"/>
          <w:sz w:val="20"/>
          <w:szCs w:val="20"/>
        </w:rPr>
        <w:t>FINANCIADA CON CRÉDITOS PROCEDENTES DE OTRAS APLICACIONES PRESUPUESTARIAS DE DIFERENTE ÁREA, CON LA CONSIGUIENTE DISMINUCIÓN DEL CRÉDITO DE ÉSTAS, Y CON REMANENTE DE TESORERÍA PARA GASTOS GENERALES DISPONIBLE procedente de la liquidación del presupuesto del ejercicio 2020</w:t>
      </w:r>
      <w:r>
        <w:rPr>
          <w:rFonts w:cs="ArialMT" w:ascii="Verdana" w:hAnsi="Verdana"/>
          <w:b/>
          <w:i/>
          <w:sz w:val="20"/>
          <w:szCs w:val="20"/>
        </w:rPr>
        <w:t>;</w:t>
      </w:r>
      <w:r>
        <w:rPr>
          <w:rFonts w:cs="ArialMT" w:ascii="Verdana" w:hAnsi="Verdana"/>
          <w:sz w:val="20"/>
          <w:szCs w:val="20"/>
        </w:rPr>
        <w:t xml:space="preserve">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Normal"/>
        <w:widowControl/>
        <w:tabs>
          <w:tab w:val="left" w:pos="709" w:leader="none"/>
        </w:tabs>
        <w:autoSpaceDE w:val="true"/>
        <w:jc w:val="left"/>
        <w:rPr>
          <w:rFonts w:ascii="Verdana" w:hAnsi="Verdana" w:cs="Times New Roman"/>
          <w:sz w:val="20"/>
          <w:szCs w:val="20"/>
          <w:lang w:eastAsia="en-US" w:bidi="ar-SA"/>
        </w:rPr>
      </w:pPr>
      <w:r>
        <w:rPr>
          <w:rFonts w:cs="Times New Roman" w:ascii="Verdana" w:hAnsi="Verdana"/>
          <w:sz w:val="20"/>
          <w:szCs w:val="20"/>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comenta que el jueves 22 de abril de 2021, vimos como se firma un acuerdo para la actividad económica y el empleo de Agüimes, sin antes aprobarse esta modificación. Me gustaría que tengan en consideración esto, porque a mi me da la sensación de que el pleno es sólo protocolario, y eso no me parece que sea lo más democrático. Al menos, debería haber una comunicación previa a la oposición, y así tener conocimiento del tema, antes de que lo veamos en los medios de comunicación. Esto no quiere decir que no esté de acuerdo con las modificaciones de crédito. Le parecen de vital importancia los incrementos que se llevan a cabo, como por supuesto, la promoción de la zona industrial, la cofinanciación de programas diversos y las atenciones benéficas.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Le gustaría que le explicasen la partida de subvención para la escudería Fan Motor. A quién va destinada esta subvención y de qué prueba deportiva estamos hablando.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Santana (Grupo Mixto: Cs) dice que se congratula de que se aumente la partida de ayuda asistencial, en esos 300.000 euros. Entiendo que eso podría haberse hecho desde el principio, cuando se aprobó el presupuesto. Posiblemente habría que haberlo aumentado más.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le parece adecuado que en una modificación de créditos haya una partida de subvención. Por qué no va en el lote general de subvenciones a cualquier asociación. No se si es muy importante para el Ayuntamiento esta partida o no.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No sabe por qué se disminuye la partida de la obra de mejora del pabellón del Polígono. También le gustaría que le aclararan por qué se disminuye la partida del mantenimiento del Risco Verde.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dice que los presupuestos son uno de los ejes de la política  de cualquier grupo municipal en el ayuntamiento. Le gustaría que le explicaran las bajas y altas de las partidas económicas. Aplauden el incremento de crédito en las partidas sociales.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Raúl Martel Vega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contesta en cuanto a la subvención para AENAGA  y la zona industrial y comercial del Polígono, que es en respuesta a la ayuda que nos ha pedido la asociación de ayuda a la promoción de la zona industrial, que entendemos muy necesaria, más en estos tiempos. Se ha hecho así por agilidad. Ciertamente no hubiera pasado nada haber firmado ese acuerdo la semana que viene. Lo tendremos en cuenta.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relación a la subvención a la escudería Fan Motor, esta es la escudería que organiza el Rally Spring Agüimes, que se lleva organizando dos o tres años en este municipio. Nos han pedido una ayuda muy modesta en comparación con lo que le cuesta poner en marcha este evento. Esta actividad genera también mucha actividad económica en los lugares donde se desarrolla, principalmente en el Polígono y Agüimes Casco.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cuanto al incremento de 300.000 euros para atenciones benéficas y asistenciales, si hiciera falta más, lo haremos. Esto no podía haberse contemplado en el presupuesto inicial, porque los remanentes de tesorería para gastos generales, no pueden constituir fuente de financiación  del presupuesto inicial. Es previsible también que el Cabildo y el Gobierno de Canarias transfiera fondos para esta finalidad.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Lo de la subvención a la escudería o a la asociación de empresarios no se incluyó en el presupuesto inicial, porque en ese momento no estaba previsto. Una vez, aprobado el presupuesto de 2021, se acercan a plantearnos la posibilidad de echarles una mano. No obstante, además, repite que los remanentes de tesorería no se podrían haber utilizado inicialmente, tendría que haber sido en todo caso, después de la liquidación.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Las partidas que se dan de baja son porque no se van a ver reflejadas en obligaciones presupuestarias o facturas dentro del ejercicio, porque aún se están redactando los proyectos o llevando a cabo la licitación, y no se van a ejecutar en este ejercicio.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 pretende atender principalmente las necesidades sociales, incrementar las partidas de los programas de empleo, y para adecuar el funcionamiento ordinario de la administración a la realidad presupuestaria.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entiende la agilidad que todos los procedimientos necesitan, pero quiere insistir en una comunicación previa  a la oposición.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comenta que entiende la necesidad que hay que cubrir en este tiempo tan desagradable que nos ha tocado vivir.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Lo de las bajas de algunas partidas, el razonamiento me vale, si no se van a utilizar, es preferible utilizarlos en otras cuestiones. Pero, en este sentido, cabría otra pregunta, si no se van a ejecutar, por qué se presupuestaron.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Mario Melián dice que le queda la duda de los proyectos del skatepark, parque infantil de Arinaga, La Tablilla… Pregunta si hubiera dinero si se podrían ejecutar estas obras, o si es imposible ya.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explica que en resumen, haremos las modificaciones que sean necesarias para los gastos sociales. También se prevé la aportación de otras administraciones.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cuanto a las bajas de partidas, es debido al ritmo del trámite de contratación o al retraso en la entrega de los proyectos. No se dejan de ejecutar cosas por falta de recursos, todo lo contrario.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modificación del presupuesto 2/2021, el mismo es aprobado con dieciséis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y cuatro abstenciones (PSOE, Grupo Mixto: Cs y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4.- INTERVENCIÓN</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2021/3787F. DACIÓN DE CUENTA DE RECAUDACIÓN MUNICIPAL 2020.-</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Raúl Martel Vega da cuenta al Pleno, para su conocimiento, del dictamen de la Comisión Informativa de Hacienda, Especial de Cuentas y Administración General, celebrada el día 19 de abril de 2021, que dice:</w:t>
      </w:r>
    </w:p>
    <w:p>
      <w:pPr>
        <w:pStyle w:val="Normal0"/>
        <w:jc w:val="left"/>
        <w:rPr>
          <w:rFonts w:ascii="Verdana" w:hAnsi="Verdana" w:eastAsia="Calibri" w:cs="Verdana"/>
          <w:sz w:val="22"/>
          <w:szCs w:val="22"/>
          <w:lang w:val="es-ES" w:eastAsia="en-US" w:bidi="ar-SA"/>
        </w:rPr>
      </w:pPr>
      <w:r>
        <w:rPr>
          <w:rFonts w:eastAsia="Calibri" w:cs="Verdana" w:ascii="Verdana" w:hAnsi="Verdana"/>
          <w:sz w:val="22"/>
          <w:szCs w:val="22"/>
          <w:lang w:val="es-ES" w:eastAsia="en-US" w:bidi="ar-SA"/>
        </w:rPr>
      </w:r>
    </w:p>
    <w:p>
      <w:pPr>
        <w:pStyle w:val="Normal0"/>
        <w:jc w:val="left"/>
        <w:rPr/>
      </w:pPr>
      <w:r>
        <w:rPr>
          <w:rFonts w:eastAsia="Calibri" w:cs="Verdana" w:ascii="Verdana" w:hAnsi="Verdana"/>
          <w:sz w:val="22"/>
          <w:szCs w:val="22"/>
          <w:lang w:val="es-ES"/>
        </w:rPr>
        <w:t>“</w:t>
      </w:r>
      <w:r>
        <w:rPr>
          <w:rFonts w:eastAsia="Calibri" w:cs="Calibri" w:ascii="Verdana" w:hAnsi="Verdana"/>
          <w:b/>
          <w:color w:val="000000"/>
          <w:sz w:val="20"/>
          <w:szCs w:val="20"/>
          <w:lang w:val="es-ES"/>
        </w:rPr>
        <w:t>APROBACI</w:t>
      </w:r>
      <w:r>
        <w:rPr>
          <w:rFonts w:eastAsia="Calibri" w:cs="Calibri" w:ascii="Verdana" w:hAnsi="Verdana"/>
          <w:b/>
          <w:color w:val="000000"/>
          <w:sz w:val="20"/>
          <w:szCs w:val="20"/>
          <w:lang w:val="es-ES"/>
        </w:rPr>
        <w:t>Ó</w:t>
      </w:r>
      <w:r>
        <w:rPr>
          <w:rFonts w:eastAsia="Calibri" w:cs="Calibri" w:ascii="Verdana" w:hAnsi="Verdana"/>
          <w:b/>
          <w:color w:val="000000"/>
          <w:sz w:val="20"/>
          <w:szCs w:val="20"/>
          <w:lang w:val="es-ES"/>
        </w:rPr>
        <w:t>N CUENTA DE RECAUDACI</w:t>
      </w:r>
      <w:r>
        <w:rPr>
          <w:rFonts w:eastAsia="Calibri" w:cs="Calibri" w:ascii="Verdana" w:hAnsi="Verdana"/>
          <w:b/>
          <w:color w:val="000000"/>
          <w:sz w:val="20"/>
          <w:szCs w:val="20"/>
          <w:lang w:val="es-ES"/>
        </w:rPr>
        <w:t>Ó</w:t>
      </w:r>
      <w:r>
        <w:rPr>
          <w:rFonts w:eastAsia="Calibri" w:cs="Calibri" w:ascii="Verdana" w:hAnsi="Verdana"/>
          <w:b/>
          <w:color w:val="000000"/>
          <w:sz w:val="20"/>
          <w:szCs w:val="20"/>
          <w:lang w:val="es-ES"/>
        </w:rPr>
        <w:t xml:space="preserve">N 2020 </w:t>
      </w:r>
      <w:r>
        <w:rPr>
          <w:rFonts w:eastAsia="Calibri" w:cs="Calibri" w:ascii="Verdana" w:hAnsi="Verdana"/>
          <w:b/>
          <w:color w:val="000000"/>
          <w:sz w:val="16"/>
          <w:szCs w:val="16"/>
          <w:lang w:val="es-ES"/>
        </w:rPr>
        <w:t>(Exp.: 2021/00003787F).</w:t>
      </w:r>
    </w:p>
    <w:p>
      <w:pPr>
        <w:pStyle w:val="Normal0"/>
        <w:ind w:left="720" w:right="0" w:hanging="0"/>
        <w:jc w:val="left"/>
        <w:rPr>
          <w:rFonts w:ascii="Verdana" w:hAnsi="Verdana" w:eastAsia="Calibri" w:cs="Calibri"/>
          <w:b/>
          <w:b/>
          <w:color w:val="000000"/>
          <w:sz w:val="20"/>
          <w:szCs w:val="20"/>
          <w:lang w:val="es-ES"/>
        </w:rPr>
      </w:pPr>
      <w:r>
        <w:rPr>
          <w:rFonts w:eastAsia="Calibri" w:cs="Calibri" w:ascii="Verdana" w:hAnsi="Verdana"/>
          <w:b/>
          <w:color w:val="000000"/>
          <w:sz w:val="20"/>
          <w:szCs w:val="20"/>
          <w:lang w:val="es-ES"/>
        </w:rPr>
      </w:r>
    </w:p>
    <w:p>
      <w:pPr>
        <w:pStyle w:val="Normal0"/>
        <w:jc w:val="left"/>
        <w:rPr/>
      </w:pPr>
      <w:r>
        <w:rPr>
          <w:rFonts w:eastAsia="Calibri" w:cs="Calibri" w:ascii="Verdana" w:hAnsi="Verdana"/>
          <w:color w:val="000000"/>
          <w:sz w:val="20"/>
          <w:szCs w:val="20"/>
          <w:lang w:val="es-ES"/>
        </w:rPr>
        <w:t xml:space="preserve">Da cuenta el Presidente de esta Comisión y Concejal del área de Hacienda de este Ayuntamiento: D. Raúl Martel Vega, de la propuesta del área de Tesorería referida a la </w:t>
      </w:r>
      <w:r>
        <w:rPr>
          <w:rFonts w:eastAsia="Calibri" w:cs="Calibri" w:ascii="Verdana" w:hAnsi="Verdana"/>
          <w:b/>
          <w:color w:val="000000"/>
          <w:sz w:val="20"/>
          <w:szCs w:val="20"/>
          <w:lang w:val="es-ES"/>
        </w:rPr>
        <w:t>APROBACI</w:t>
      </w:r>
      <w:r>
        <w:rPr>
          <w:rFonts w:eastAsia="Calibri" w:cs="Calibri" w:ascii="Verdana" w:hAnsi="Verdana"/>
          <w:b/>
          <w:color w:val="000000"/>
          <w:sz w:val="20"/>
          <w:szCs w:val="20"/>
          <w:lang w:val="es-ES"/>
        </w:rPr>
        <w:t>Ó</w:t>
      </w:r>
      <w:r>
        <w:rPr>
          <w:rFonts w:eastAsia="Calibri" w:cs="Calibri" w:ascii="Verdana" w:hAnsi="Verdana"/>
          <w:b/>
          <w:color w:val="000000"/>
          <w:sz w:val="20"/>
          <w:szCs w:val="20"/>
          <w:lang w:val="es-ES"/>
        </w:rPr>
        <w:t>N CUENTA DE RECAUDACI</w:t>
      </w:r>
      <w:r>
        <w:rPr>
          <w:rFonts w:eastAsia="Calibri" w:cs="Calibri" w:ascii="Verdana" w:hAnsi="Verdana"/>
          <w:b/>
          <w:color w:val="000000"/>
          <w:sz w:val="20"/>
          <w:szCs w:val="20"/>
          <w:lang w:val="es-ES"/>
        </w:rPr>
        <w:t>Ó</w:t>
      </w:r>
      <w:r>
        <w:rPr>
          <w:rFonts w:eastAsia="Calibri" w:cs="Calibri" w:ascii="Verdana" w:hAnsi="Verdana"/>
          <w:b/>
          <w:color w:val="000000"/>
          <w:sz w:val="20"/>
          <w:szCs w:val="20"/>
          <w:lang w:val="es-ES"/>
        </w:rPr>
        <w:t xml:space="preserve">N 2020 </w:t>
      </w:r>
      <w:r>
        <w:rPr>
          <w:rFonts w:eastAsia="Calibri" w:cs="Calibri" w:ascii="Verdana" w:hAnsi="Verdana"/>
          <w:color w:val="000000"/>
          <w:sz w:val="20"/>
          <w:szCs w:val="20"/>
          <w:lang w:val="es-ES"/>
        </w:rPr>
        <w:t>con la finalidad de trasladarla ante el Pleno del Ayuntamiento para su conocimiento.</w:t>
      </w:r>
    </w:p>
    <w:p>
      <w:pPr>
        <w:pStyle w:val="Cuerpodetexto"/>
        <w:spacing w:lineRule="auto" w:line="252" w:before="1" w:after="0"/>
        <w:ind w:left="195" w:right="464" w:hanging="0"/>
        <w:jc w:val="left"/>
        <w:rPr>
          <w:rFonts w:ascii="Verdana" w:hAnsi="Verdana" w:cs="Verdana"/>
        </w:rPr>
      </w:pPr>
      <w:r>
        <w:rPr>
          <w:rFonts w:cs="Verdana" w:ascii="Verdana" w:hAnsi="Verdana"/>
        </w:rPr>
        <w:t xml:space="preserve">Se presenta al Pleno, para su conocimiento, la cuenta de Recaudación del ejercicio 2020 en la que se hace una relación pormenorizada de cada una de los tributos gestionados por el Ayuntamiento, las remesas, el tipo de exacción, la cuantía pendiente de ejercicios anteriores, los cargos emitidos, los ingresos, las bajas y el y los cargos pendientes que se trasladan al ejercicio </w:t>
      </w:r>
    </w:p>
    <w:p>
      <w:pPr>
        <w:pStyle w:val="Cuerpodetexto"/>
        <w:spacing w:lineRule="auto" w:line="252" w:before="1" w:after="0"/>
        <w:ind w:left="195" w:right="464" w:hanging="0"/>
        <w:jc w:val="left"/>
        <w:rPr>
          <w:rFonts w:ascii="Verdana" w:hAnsi="Verdana" w:cs="Verdana"/>
        </w:rPr>
      </w:pPr>
      <w:r>
        <w:rPr>
          <w:rFonts w:cs="Verdana" w:ascii="Verdana" w:hAnsi="Verdana"/>
        </w:rPr>
      </w:r>
    </w:p>
    <w:p>
      <w:pPr>
        <w:pStyle w:val="Cuerpodetexto"/>
        <w:spacing w:lineRule="auto" w:line="252" w:before="1" w:after="0"/>
        <w:ind w:left="195" w:right="464" w:hanging="0"/>
        <w:jc w:val="left"/>
        <w:rPr>
          <w:rFonts w:ascii="Verdana" w:hAnsi="Verdana" w:cs="Verdana"/>
        </w:rPr>
      </w:pPr>
      <w:r>
        <w:rPr>
          <w:rFonts w:cs="Verdana" w:ascii="Verdana" w:hAnsi="Verdana"/>
        </w:rPr>
        <w:t>El resumen de la Cuenta de Recaudación, elaborado por el Servicio de Recaudación es el que se presenta a continuación:</w:t>
      </w:r>
    </w:p>
    <w:p>
      <w:pPr>
        <w:pStyle w:val="Cuerpodetexto"/>
        <w:spacing w:lineRule="auto" w:line="252" w:before="1" w:after="0"/>
        <w:ind w:left="195" w:right="464" w:hanging="0"/>
        <w:jc w:val="left"/>
        <w:rPr>
          <w:rFonts w:ascii="Verdana" w:hAnsi="Verdana" w:cs="Verdana"/>
        </w:rPr>
      </w:pPr>
      <w:r>
        <w:rPr>
          <w:rFonts w:cs="Verdana" w:ascii="Verdana" w:hAnsi="Verdana"/>
        </w:rPr>
      </w:r>
    </w:p>
    <w:p>
      <w:pPr>
        <w:pStyle w:val="Cuerpodetexto"/>
        <w:tabs>
          <w:tab w:val="clear" w:pos="709"/>
          <w:tab w:val="right" w:pos="9720" w:leader="none"/>
        </w:tabs>
        <w:spacing w:before="6" w:after="0"/>
        <w:jc w:val="left"/>
        <w:rPr>
          <w:rFonts w:ascii="Verdana" w:hAnsi="Verdana" w:cs="Verdana"/>
          <w:lang w:eastAsia="en-US"/>
        </w:rPr>
      </w:pPr>
      <w:r>
        <w:rPr>
          <w:rFonts w:cs="Verdana" w:ascii="Verdana" w:hAnsi="Verdana"/>
          <w:lang w:eastAsia="en-US"/>
        </w:rPr>
        <mc:AlternateContent>
          <mc:Choice Requires="wpg">
            <w:drawing>
              <wp:inline distT="0" distB="0" distL="0" distR="0">
                <wp:extent cx="6178550" cy="4787900"/>
                <wp:effectExtent l="0" t="0" r="0" b="0"/>
                <wp:docPr id="5" name=""/>
                <a:graphic xmlns:a="http://schemas.openxmlformats.org/drawingml/2006/main">
                  <a:graphicData uri="http://schemas.microsoft.com/office/word/2010/wordprocessingGroup">
                    <wpg:wgp>
                      <wpg:cNvGrpSpPr/>
                      <wpg:grpSpPr>
                        <a:xfrm>
                          <a:off x="0" y="0"/>
                          <a:ext cx="6177960" cy="4787280"/>
                        </a:xfrm>
                      </wpg:grpSpPr>
                      <wps:wsp>
                        <wps:cNvSpPr/>
                        <wps:nvSpPr>
                          <wps:cNvPr id="0" name="Rectangle 1"/>
                          <wps:cNvSpPr/>
                        </wps:nvSpPr>
                        <wps:spPr>
                          <a:xfrm>
                            <a:off x="0" y="0"/>
                            <a:ext cx="6177960" cy="4787280"/>
                          </a:xfrm>
                          <a:prstGeom prst="rect">
                            <a:avLst/>
                          </a:prstGeom>
                          <a:noFill/>
                          <a:ln>
                            <a:noFill/>
                          </a:ln>
                        </wps:spPr>
                        <wps:bodyPr/>
                      </wps:wsp>
                      <pic:pic xmlns:pic="http://schemas.openxmlformats.org/drawingml/2006/picture">
                        <pic:nvPicPr>
                          <pic:cNvPr id="1" name="" descr=""/>
                          <pic:cNvPicPr/>
                        </pic:nvPicPr>
                        <pic:blipFill>
                          <a:blip r:embed="rId6"/>
                          <a:stretch/>
                        </pic:blipFill>
                        <pic:spPr>
                          <a:xfrm>
                            <a:off x="0" y="0"/>
                            <a:ext cx="6177960" cy="4787280"/>
                          </a:xfrm>
                          <a:prstGeom prst="rect">
                            <a:avLst/>
                          </a:prstGeom>
                          <a:ln>
                            <a:noFill/>
                          </a:ln>
                        </pic:spPr>
                      </pic:pic>
                    </wpg:wgp>
                  </a:graphicData>
                </a:graphic>
              </wp:inline>
            </w:drawing>
          </mc:Choice>
          <mc:Fallback>
            <w:pict>
              <v:group id="shape_0" style="position:absolute;margin-left:0pt;margin-top:0pt;width:486.45pt;height:376.95pt" coordorigin="0,0" coordsize="9729,7539">
                <v:rect id="shape_0" stroked="f" style="position:absolute;left:0;top:0;width:9728;height:7538;mso-position-horizontal-relative:char">
                  <w10:wrap type="non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0;width:9728;height:7538;mso-position-horizontal-relative:char" type="shapetype_75">
                  <v:imagedata r:id="rId6" o:detectmouseclick="t"/>
                  <w10:wrap type="none"/>
                  <v:stroke color="#3465a4" joinstyle="round" endcap="flat"/>
                </v:shape>
              </v:group>
            </w:pict>
          </mc:Fallback>
        </mc:AlternateContent>
      </w:r>
    </w:p>
    <w:p>
      <w:pPr>
        <w:pStyle w:val="Normal"/>
        <w:widowControl/>
        <w:jc w:val="left"/>
        <w:rPr/>
      </w:pPr>
      <w:r>
        <w:rPr>
          <w:rFonts w:cs="ArialMT" w:ascii="Verdana" w:hAnsi="Verdana"/>
          <w:color w:val="000000"/>
          <w:sz w:val="20"/>
          <w:szCs w:val="20"/>
        </w:rPr>
        <w:t xml:space="preserve">. </w:t>
      </w:r>
      <w:r>
        <w:rPr>
          <w:rFonts w:cs="ArialMT" w:ascii="Verdana" w:hAnsi="Verdana"/>
          <w:color w:val="000000"/>
          <w:sz w:val="20"/>
          <w:szCs w:val="20"/>
          <w:lang w:val="es-ES" w:eastAsia="es-ES"/>
        </w:rPr>
        <w:drawing>
          <wp:inline distT="0" distB="0" distL="0" distR="0">
            <wp:extent cx="5958205" cy="3820795"/>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
                    <pic:cNvPicPr>
                      <a:picLocks noChangeAspect="1" noChangeArrowheads="1"/>
                    </pic:cNvPicPr>
                  </pic:nvPicPr>
                  <pic:blipFill>
                    <a:blip r:embed="rId7"/>
                    <a:srcRect l="-4" t="-5" r="-4" b="-5"/>
                    <a:stretch>
                      <a:fillRect/>
                    </a:stretch>
                  </pic:blipFill>
                  <pic:spPr bwMode="auto">
                    <a:xfrm>
                      <a:off x="0" y="0"/>
                      <a:ext cx="5958205" cy="3820795"/>
                    </a:xfrm>
                    <a:prstGeom prst="rect">
                      <a:avLst/>
                    </a:prstGeom>
                  </pic:spPr>
                </pic:pic>
              </a:graphicData>
            </a:graphic>
          </wp:inline>
        </w:drawing>
      </w:r>
    </w:p>
    <w:p>
      <w:pPr>
        <w:pStyle w:val="Normal"/>
        <w:widowControl/>
        <w:jc w:val="left"/>
        <w:rPr>
          <w:rFonts w:ascii="Verdana" w:hAnsi="Verdana" w:cs="ArialMT"/>
          <w:color w:val="000000"/>
          <w:sz w:val="20"/>
          <w:szCs w:val="20"/>
          <w:lang w:val="es-ES" w:eastAsia="es-ES"/>
        </w:rPr>
      </w:pPr>
      <w:r>
        <w:rPr>
          <w:rFonts w:cs="ArialMT" w:ascii="Verdana" w:hAnsi="Verdana"/>
          <w:color w:val="000000"/>
          <w:sz w:val="20"/>
          <w:szCs w:val="20"/>
          <w:lang w:val="es-ES" w:eastAsia="es-ES"/>
        </w:rPr>
        <w:drawing>
          <wp:inline distT="0" distB="0" distL="0" distR="0">
            <wp:extent cx="3700145" cy="425450"/>
            <wp:effectExtent l="0" t="0" r="0" b="0"/>
            <wp:docPr id="7"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descr=""/>
                    <pic:cNvPicPr>
                      <a:picLocks noChangeAspect="1" noChangeArrowheads="1"/>
                    </pic:cNvPicPr>
                  </pic:nvPicPr>
                  <pic:blipFill>
                    <a:blip r:embed="rId8"/>
                    <a:srcRect l="-6" t="-49" r="-6" b="-49"/>
                    <a:stretch>
                      <a:fillRect/>
                    </a:stretch>
                  </pic:blipFill>
                  <pic:spPr bwMode="auto">
                    <a:xfrm>
                      <a:off x="0" y="0"/>
                      <a:ext cx="3700145" cy="425450"/>
                    </a:xfrm>
                    <a:prstGeom prst="rect">
                      <a:avLst/>
                    </a:prstGeom>
                  </pic:spPr>
                </pic:pic>
              </a:graphicData>
            </a:graphic>
          </wp:inline>
        </w:drawing>
      </w:r>
    </w:p>
    <w:p>
      <w:pPr>
        <w:pStyle w:val="Normal"/>
        <w:widowControl/>
        <w:jc w:val="left"/>
        <w:rPr>
          <w:rFonts w:ascii="Verdana" w:hAnsi="Verdana" w:cs="ArialMT"/>
          <w:color w:val="000000"/>
          <w:sz w:val="20"/>
          <w:szCs w:val="20"/>
        </w:rPr>
      </w:pPr>
      <w:r>
        <w:rPr>
          <w:rFonts w:cs="ArialMT" w:ascii="Verdana" w:hAnsi="Verdana"/>
          <w:color w:val="000000"/>
          <w:sz w:val="20"/>
          <w:szCs w:val="20"/>
        </w:rPr>
      </w:r>
    </w:p>
    <w:p>
      <w:pPr>
        <w:pStyle w:val="Normal"/>
        <w:widowControl/>
        <w:jc w:val="left"/>
        <w:rPr>
          <w:rFonts w:ascii="Verdana" w:hAnsi="Verdana" w:cs="ArialMT"/>
          <w:color w:val="000000"/>
          <w:sz w:val="20"/>
          <w:szCs w:val="20"/>
        </w:rPr>
      </w:pPr>
      <w:r>
        <w:rPr>
          <w:rFonts w:cs="ArialMT" w:ascii="Verdana" w:hAnsi="Verdana"/>
          <w:color w:val="000000"/>
          <w:sz w:val="20"/>
          <w:szCs w:val="20"/>
        </w:rPr>
      </w:r>
    </w:p>
    <w:p>
      <w:pPr>
        <w:pStyle w:val="Cuerpodetexto"/>
        <w:spacing w:lineRule="auto" w:line="252"/>
        <w:jc w:val="left"/>
        <w:rPr/>
      </w:pPr>
      <w:r>
        <w:rPr>
          <w:rFonts w:cs="Verdana" w:ascii="Verdana" w:hAnsi="Verdana"/>
          <w:spacing w:val="3"/>
        </w:rPr>
        <w:t xml:space="preserve">Teniendo </w:t>
      </w:r>
      <w:r>
        <w:rPr>
          <w:rFonts w:cs="Verdana" w:ascii="Verdana" w:hAnsi="Verdana"/>
          <w:spacing w:val="4"/>
        </w:rPr>
        <w:t xml:space="preserve">presente </w:t>
      </w:r>
      <w:r>
        <w:rPr>
          <w:rFonts w:cs="Verdana" w:ascii="Verdana" w:hAnsi="Verdana"/>
        </w:rPr>
        <w:t xml:space="preserve">lo </w:t>
      </w:r>
      <w:r>
        <w:rPr>
          <w:rFonts w:cs="Verdana" w:ascii="Verdana" w:hAnsi="Verdana"/>
          <w:spacing w:val="5"/>
        </w:rPr>
        <w:t xml:space="preserve">anterior, </w:t>
      </w:r>
      <w:r>
        <w:rPr>
          <w:rFonts w:cs="Verdana" w:ascii="Verdana" w:hAnsi="Verdana"/>
        </w:rPr>
        <w:t xml:space="preserve">se </w:t>
      </w:r>
      <w:r>
        <w:rPr>
          <w:rFonts w:cs="Verdana" w:ascii="Verdana" w:hAnsi="Verdana"/>
          <w:spacing w:val="4"/>
        </w:rPr>
        <w:t xml:space="preserve">pone </w:t>
      </w:r>
      <w:r>
        <w:rPr>
          <w:rFonts w:cs="Verdana" w:ascii="Verdana" w:hAnsi="Verdana"/>
        </w:rPr>
        <w:t xml:space="preserve">en </w:t>
      </w:r>
      <w:r>
        <w:rPr>
          <w:rFonts w:cs="Verdana" w:ascii="Verdana" w:hAnsi="Verdana"/>
          <w:spacing w:val="4"/>
        </w:rPr>
        <w:t xml:space="preserve">conocimiento </w:t>
      </w:r>
      <w:r>
        <w:rPr>
          <w:rFonts w:cs="Verdana" w:ascii="Verdana" w:hAnsi="Verdana"/>
          <w:spacing w:val="3"/>
        </w:rPr>
        <w:t xml:space="preserve">del </w:t>
      </w:r>
      <w:r>
        <w:rPr>
          <w:rFonts w:cs="Verdana" w:ascii="Verdana" w:hAnsi="Verdana"/>
          <w:spacing w:val="2"/>
        </w:rPr>
        <w:t xml:space="preserve">Pleno </w:t>
      </w:r>
      <w:r>
        <w:rPr>
          <w:rFonts w:cs="Verdana" w:ascii="Verdana" w:hAnsi="Verdana"/>
          <w:spacing w:val="3"/>
        </w:rPr>
        <w:t xml:space="preserve">Municipal los </w:t>
      </w:r>
      <w:r>
        <w:rPr>
          <w:rFonts w:cs="Verdana" w:ascii="Verdana" w:hAnsi="Verdana"/>
          <w:spacing w:val="4"/>
        </w:rPr>
        <w:t xml:space="preserve">resultados mencionados </w:t>
      </w:r>
      <w:r>
        <w:rPr>
          <w:rFonts w:cs="Verdana" w:ascii="Verdana" w:hAnsi="Verdana"/>
          <w:spacing w:val="3"/>
        </w:rPr>
        <w:t>de la CUENTA DE RECAUDACIÓN MUNICIPAL DE 2020</w:t>
      </w:r>
      <w:r>
        <w:rPr>
          <w:rFonts w:cs="Verdana" w:ascii="Verdana" w:hAnsi="Verdana"/>
          <w:spacing w:val="5"/>
        </w:rPr>
        <w:t>.</w:t>
      </w:r>
    </w:p>
    <w:p>
      <w:pPr>
        <w:pStyle w:val="Normal00"/>
        <w:spacing w:lineRule="auto" w:line="240" w:before="0" w:after="0"/>
        <w:ind w:left="0" w:right="0" w:firstLine="709"/>
        <w:jc w:val="left"/>
        <w:rPr>
          <w:rFonts w:ascii="Verdana" w:hAnsi="Verdana" w:cs="Calibri"/>
          <w:sz w:val="20"/>
          <w:szCs w:val="20"/>
        </w:rPr>
      </w:pPr>
      <w:r>
        <w:rPr>
          <w:rFonts w:cs="Calibri" w:ascii="Verdana" w:hAnsi="Verdana"/>
          <w:sz w:val="20"/>
          <w:szCs w:val="20"/>
        </w:rPr>
      </w:r>
    </w:p>
    <w:p>
      <w:pPr>
        <w:pStyle w:val="Normal"/>
        <w:jc w:val="left"/>
        <w:rPr/>
      </w:pPr>
      <w:r>
        <w:rPr>
          <w:rFonts w:eastAsia="Verdana" w:cs="Verdana" w:ascii="Verdana" w:hAnsi="Verdana"/>
          <w:sz w:val="20"/>
          <w:szCs w:val="20"/>
          <w:lang w:eastAsia="ar-SA"/>
        </w:rPr>
        <w:t xml:space="preserve">    </w:t>
      </w:r>
      <w:r>
        <w:rPr>
          <w:rFonts w:cs="Times New Roman" w:ascii="Verdana" w:hAnsi="Verdana"/>
          <w:sz w:val="20"/>
          <w:szCs w:val="20"/>
          <w:lang w:eastAsia="ar-SA"/>
        </w:rPr>
        <w:t xml:space="preserve">Los miembros de esta Comisión, consultado el expediente y los informes y tras las explicaciones oportunas dictaminan  favorable, con la anuencia de todos los Concejales, sobre el traslado ante el PLENO MUNICIPAL, para su CONOCIMIENTO, </w:t>
      </w:r>
      <w:r>
        <w:rPr>
          <w:rFonts w:cs="Verdana" w:ascii="Verdana" w:hAnsi="Verdana"/>
          <w:spacing w:val="3"/>
          <w:sz w:val="20"/>
          <w:szCs w:val="20"/>
        </w:rPr>
        <w:t>de la CUENTA DE RECAUDACIÓN MUNICIPAL DE 2020</w:t>
      </w:r>
      <w:r>
        <w:rPr>
          <w:rFonts w:cs="Times New Roman" w:ascii="Verdana" w:hAnsi="Verdana"/>
          <w:sz w:val="20"/>
          <w:szCs w:val="20"/>
          <w:lang w:eastAsia="ar-SA"/>
        </w:rPr>
        <w:t xml:space="preserve">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 </w:t>
      </w:r>
    </w:p>
    <w:p>
      <w:pPr>
        <w:pStyle w:val="Normal"/>
        <w:jc w:val="left"/>
        <w:rPr>
          <w:rFonts w:ascii="Verdana" w:hAnsi="Verdana" w:cs="Times New Roman"/>
          <w:sz w:val="20"/>
          <w:szCs w:val="20"/>
          <w:lang w:eastAsia="ar-SA"/>
        </w:rPr>
      </w:pPr>
      <w:r>
        <w:rPr>
          <w:rFonts w:cs="Times New Roman" w:ascii="Verdana" w:hAnsi="Verdana"/>
          <w:sz w:val="20"/>
          <w:szCs w:val="20"/>
          <w:lang w:eastAsia="ar-SA"/>
        </w:rPr>
      </w:r>
    </w:p>
    <w:p>
      <w:pPr>
        <w:pStyle w:val="Normal"/>
        <w:widowControl/>
        <w:tabs>
          <w:tab w:val="left" w:pos="709" w:leader="none"/>
        </w:tabs>
        <w:autoSpaceDE w:val="true"/>
        <w:jc w:val="left"/>
        <w:rPr>
          <w:rFonts w:ascii="Verdana" w:hAnsi="Verdana" w:cs="Times New Roman"/>
          <w:sz w:val="20"/>
          <w:szCs w:val="20"/>
          <w:lang w:eastAsia="en-US" w:bidi="ar-SA"/>
        </w:rPr>
      </w:pPr>
      <w:r>
        <w:rPr>
          <w:rFonts w:cs="Times New Roman" w:ascii="Verdana" w:hAnsi="Verdana"/>
          <w:sz w:val="20"/>
          <w:szCs w:val="20"/>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Seguidamente se da cuenta del informe de fiscalización, de fecha 14 de abril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rFonts w:ascii="Verdana" w:hAnsi="Verdana" w:cs="Verdana"/>
          <w:lang w:bidi="ar-SA"/>
        </w:rPr>
      </w:pPr>
      <w:r>
        <w:rPr>
          <w:rFonts w:cs="Verdana" w:ascii="Verdana" w:hAnsi="Verdana"/>
          <w:lang w:bidi="ar-SA"/>
        </w:rPr>
        <w:t>“</w:t>
      </w:r>
      <w:r>
        <w:rPr>
          <w:rFonts w:cs="Verdana" w:ascii="Verdana" w:hAnsi="Verdana"/>
          <w:lang w:bidi="ar-SA"/>
        </w:rPr>
        <w:t>INFORME DE INTERVENCIÓN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FISCALIZACIÓN DE LA CUENTA DE RECAUDACIÓN</w:t>
      </w:r>
    </w:p>
    <w:p>
      <w:pPr>
        <w:pStyle w:val="Normal"/>
        <w:widowControl/>
        <w:jc w:val="left"/>
        <w:rPr>
          <w:rFonts w:ascii="Verdana" w:hAnsi="Verdana" w:cs="Verdana"/>
          <w:lang w:bidi="ar-SA"/>
        </w:rPr>
      </w:pPr>
      <w:r>
        <w:rPr>
          <w:rFonts w:cs="Verdana" w:ascii="Verdana" w:hAnsi="Verdana"/>
          <w:lang w:bidi="ar-SA"/>
        </w:rPr>
        <w:t>El Funcionario que suscribe, Interventor de Fondos del Ilustre Ayuntamiento de la Villa de Agüimes, de acuerdo con lo establecido en el artículo 214 del Real Decreto Legislativo 2/2004, de 5 de marzo, por el que se aprueba el Texto Refundido de la Ley Reguladora de las Haciendas Locales, en atención a las anteriores consideraciones emite el siguiente INFORME: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Se presenta al Pleno, para su conocimiento, la cuenta de Recaudación del ejercicio 2020 en la que se hace una relación pormenorizada de cada una de los tributos gestionados por el Ayuntamiento, las remesas, el tipo de exacción, la cuantía pendiente de ejercicios anteriores, los cargos emitidos, los ingresos, las bajas y el y los cargos pendientes que se trasladan al ejercicio posterior y dado que afecta al Presupuesto General de la entidad, se debe informar y valorar por esta Intervención.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resultado de la fiscalización, de acuerdo con las normas legales, que regulan el proceso de preparación, autorización, compromiso y ejecución de los cargos emitidos por la entidad, habiéndose realizado algunas verificaciones y que se detallan de forma resumida a continuación: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Comprobaciones: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1. Los cargos se han realizado por el personal autorizado contenidos en su correspondiente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2. El órgano que aprobó el cargo era el competente para autorizar y liquidar en nombre de la entidad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3. Los objetos tributarios y sus correspondientes hechos imponibles han estado correctamente definidos, según las correspondientes ordenanzas.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4. Fueron expuestos al público conforme las normas tributarias.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5. Se comprobó el cálculo de los recibos antes de ponerse al cobro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6. Una vez detectados los errores que surgieron en las diferentes remesas y fueron corregidos.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7. Se comprobó la inclusión en las remesas y padrones de todos los posibles sujetos pasivos.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8. Se verificaron tanto la base imponible como las tarifas vigentes, deducciones, bonificaciones y los plazos tanto de los cobros en voluntaria como de las actuaciones en periodo ejecutivo.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9. Se ha registrado debidamente en la base de datos de recaudación y de contabilidad toda esta información.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10. Han sido revisados periódicamente los saldos para su tramitación o, en su caso, la baja.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 la vista de la verificación realizada la cuenta de Recaudación 2020 se fiscaliza en conformidad.”</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destaca de manera positiva ese bajo porcentaje en ejecutiva. Esto es una buena noticia para el municipio. Que los vecinos hayan realizado ese esfuerzo, cuando hay numerosas familias que están en una situación complicada, es debido  gracias a la posibilidad del fraccionamiento de sus obligaciones de pago.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le gustaría saber si tienen los datos de la variable entre 2019 y 2020, en cuanto a los ingresos.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Raúl Martel Vega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contesta que hay en voluntaria, un 2% de incremento en recaudación. El resultado presupuestario asciende a esos 12 millones de euros. No hay ningún inconveniente en trasladarles el dato exacto. Dicho dato se encuentra en la liquidación del presupuesto, que además es público en la página web.</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5.- ÁREA DE COOPERACIÓN AL DESARROLLO.</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2021/2978A. DECLARACIÓN INSTITUCIONAL DÍA INTERNACIONAL CONTRA LA ESCLAVITUD INFANTIL.-</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Jéssica Santana Marcial da cuenta al Pleno, que en la Comisión Informativa de Derechos,  Políticas Sociales y Servicios Municipales, celebrada el día 16 de abril de 2021, se trató el tema de la adhesión a la declaración institucional remitida por la FECAM sobre el día internacional contra la esclavitud infantil.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declaración institucional: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rFonts w:ascii="Verdana" w:hAnsi="Verdana" w:cs="CenturyGothic"/>
          <w:lang w:bidi="ar-SA"/>
        </w:rPr>
      </w:pPr>
      <w:r>
        <w:rPr>
          <w:rFonts w:cs="CenturyGothic" w:ascii="Verdana" w:hAnsi="Verdana"/>
          <w:lang w:bidi="ar-SA"/>
        </w:rPr>
        <w:t>“</w:t>
      </w:r>
      <w:r>
        <w:rPr>
          <w:rFonts w:cs="CenturyGothic" w:ascii="Verdana" w:hAnsi="Verdana"/>
          <w:lang w:bidi="ar-SA"/>
        </w:rPr>
        <w:t>16 DE ABRIL, DÍA MUNDIAL CONTRA LA ESCLAVITUD INFANTIL”</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pPr>
      <w:r>
        <w:rPr>
          <w:rFonts w:cs="CenturyGothic" w:ascii="Verdana" w:hAnsi="Verdana"/>
          <w:lang w:bidi="ar-SA"/>
        </w:rPr>
        <w:t xml:space="preserve">El 16 de abril, es el </w:t>
      </w:r>
      <w:r>
        <w:rPr>
          <w:rFonts w:cs="CenturyGothic" w:ascii="Verdana" w:hAnsi="Verdana"/>
          <w:iCs/>
          <w:lang w:bidi="ar-SA"/>
        </w:rPr>
        <w:t>Día Mundial contra la esclavitud infantil, conmemorándose la muerte de Iqbal Mashil, un niño paquistaní que con tan sólo 4 años fue vendido por su padre a una fábrica de alfombras, para pagar sus deudas. Iqbal fue esclavizado y obligado a trabajar durante más de 12 horas diarias. Recibió un constante maltrato y fue rebelde y castigado reiteradamente por ello, hasta, que con 10 años, Iqbal logró escapar, convirtiéndose a su corta edad en un activista que luchó por los derechos de la infancia víctima de la esclavitud. Una lucha que le costaría la vida, pues a la edad de 12 años, mientras manejaba su bicicleta de vuelta a casa, fue asesinado el 16 de abril de 1995.</w:t>
      </w:r>
    </w:p>
    <w:p>
      <w:pPr>
        <w:pStyle w:val="Normal"/>
        <w:widowControl/>
        <w:jc w:val="left"/>
        <w:rPr>
          <w:rFonts w:ascii="Verdana" w:hAnsi="Verdana" w:cs="CenturyGothic"/>
          <w:iCs/>
          <w:lang w:bidi="ar-SA"/>
        </w:rPr>
      </w:pPr>
      <w:r>
        <w:rPr>
          <w:rFonts w:cs="CenturyGothic" w:ascii="Verdana" w:hAnsi="Verdana"/>
          <w:iCs/>
          <w:lang w:bidi="ar-SA"/>
        </w:rPr>
      </w:r>
    </w:p>
    <w:p>
      <w:pPr>
        <w:pStyle w:val="Normal"/>
        <w:widowControl/>
        <w:jc w:val="left"/>
        <w:rPr/>
      </w:pPr>
      <w:r>
        <w:rPr>
          <w:rFonts w:cs="CenturyGothic" w:ascii="Verdana" w:hAnsi="Verdana"/>
          <w:iCs/>
          <w:lang w:bidi="ar-SA"/>
        </w:rPr>
        <w:t xml:space="preserve">El 16 de abril es un día para el recuerdo y el homenaje, </w:t>
      </w:r>
      <w:r>
        <w:rPr>
          <w:rFonts w:cs="CenturyGothic" w:ascii="Verdana" w:hAnsi="Verdana"/>
          <w:lang w:bidi="ar-SA"/>
        </w:rPr>
        <w:t>cuyo objetivo debe ser visibilizar la problemática de la esclavitud infantil y hacer a la ciudadanía, consciente de ella.</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La explotación infantil está rigurosamente prohibida por todas las legislaciones internacionales. Sin embargo, a día de hoy, datos ofrecidos por UNICEF y la Organización Mundial del Trabajo, en el mundo existen millones de niños y niñas víctimas de la explotación laboral, los cuales ponen en riesgo su vida realizando trabajos peligrosos, poniendo en peligro su desarrollo físico y psíquico.</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pPr>
      <w:r>
        <w:rPr>
          <w:rFonts w:cs="CenturyGothic" w:ascii="Verdana" w:hAnsi="Verdana"/>
          <w:lang w:bidi="ar-SA"/>
        </w:rPr>
        <w:t xml:space="preserve">Un año después del inicio de la </w:t>
      </w:r>
      <w:r>
        <w:rPr>
          <w:rFonts w:cs="CenturyGothic" w:ascii="Verdana" w:hAnsi="Verdana"/>
          <w:iCs/>
          <w:lang w:bidi="ar-SA"/>
        </w:rPr>
        <w:t>pandemia de la COVID-19, el progreso ha retrocedido en indicadores tan importantes como la INFANCIA</w:t>
      </w:r>
      <w:r>
        <w:rPr>
          <w:rFonts w:cs="CenturyGothic" w:ascii="Verdana" w:hAnsi="Verdana"/>
          <w:lang w:bidi="ar-SA"/>
        </w:rPr>
        <w:t>. La normalidad es devastadora y distorsionada para los niños y niñas de todo el mundo. Su acceso a la educación, la socialización y algunos servicios esenciales como pueden ser, la nutrición y la protección se han visto disminuidos. Son los más sufridores de las peores consecuencias de la pandemia que vinimos sufriendo.</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pPr>
      <w:r>
        <w:rPr>
          <w:rFonts w:cs="CenturyGothic" w:ascii="Verdana" w:hAnsi="Verdana"/>
          <w:lang w:bidi="ar-SA"/>
        </w:rPr>
        <w:t xml:space="preserve">Por todo ello, </w:t>
      </w:r>
      <w:r>
        <w:rPr>
          <w:rFonts w:cs="CenturyGothic" w:ascii="Verdana" w:hAnsi="Verdana"/>
          <w:iCs/>
          <w:lang w:bidi="ar-SA"/>
        </w:rPr>
        <w:t xml:space="preserve">la FECAM, en nombre de todas las Entidades Locales de Canarias, </w:t>
      </w:r>
      <w:r>
        <w:rPr>
          <w:rFonts w:cs="CenturyGothic" w:ascii="Verdana" w:hAnsi="Verdana"/>
          <w:lang w:bidi="ar-SA"/>
        </w:rPr>
        <w:t>debemos luchar por una infancia libre, feliz, crear conciencia, sensibilizando y promoviendo, la reflexión y el diálogo, incidiendo en la responsabilidad y la solidaridad.</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En la CONVENCIÓN DE LOS DERECHOS DEL NIÑO, se establece que: “Todo niño y niña tiene derecho a la educación y es obligación del Estado asegurar, por lo menos, la educación primaria gratuita y obligatoria; y es obligación del Estado proteger al niño y niña contra el desempeño de cualquier trabajo nocivo para su salud, educación o desarrollo”.</w:t>
      </w:r>
    </w:p>
    <w:p>
      <w:pPr>
        <w:pStyle w:val="Normal"/>
        <w:widowControl/>
        <w:jc w:val="left"/>
        <w:rPr/>
      </w:pPr>
      <w:r>
        <w:rPr>
          <w:rFonts w:cs="CenturyGothic" w:ascii="Verdana" w:hAnsi="Verdana"/>
          <w:iCs/>
          <w:lang w:bidi="ar-SA"/>
        </w:rPr>
        <w:t xml:space="preserve">Por todo ello, y con motivo de la conmemoración del Día Mundial contra la esclavitud infantil, se hace un llamamiento a la reflexión y se propone al Comité Ejecutivo de la FECAM, a la adopción de los siguientes </w:t>
      </w:r>
      <w:r>
        <w:rPr>
          <w:rFonts w:cs="CenturyGothic" w:ascii="Verdana" w:hAnsi="Verdana"/>
          <w:lang w:bidi="ar-SA"/>
        </w:rPr>
        <w:t>ACUERDOS:</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PRIMERO.- Ratificar el contenido de esta Declaración Institucional por el Día Mundial contra la esclavitud infantil.</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SEGUNDO.- Invitamos al Gobierno de Canarias, a los Cabildos Insulares y los Ayuntamientos a adherirse a esta Declaración, con la finalidad de que los niños y niñas ocupen un lugar primordial en los esfuerzos por su recuperación, con más protección social y proporcionar servicios esenciales a los niños y niñas más vulnerables.</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TERCERO.- El compromiso por parte de todos los Ayuntamientos a seguir trabajando por la cooperación internacional al desarrollo. La humanidad debe tomar conciencia del largo camino que aún queda por recorrer y asumir que la infancia de un país es su futuro.</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CUARTO.- Exigir al Gobierno de Canarias una financiación suficiente para llevar a cabo políticas educativas y sociales, para poder combatir las causas que originan este fenómeno, pero que pueden resumirse en la pobreza extrema.</w:t>
      </w:r>
    </w:p>
    <w:p>
      <w:pPr>
        <w:pStyle w:val="Normal"/>
        <w:widowControl/>
        <w:jc w:val="left"/>
        <w:rPr>
          <w:rFonts w:ascii="Verdana" w:hAnsi="Verdana" w:cs="CenturyGothic"/>
          <w:iCs/>
          <w:lang w:bidi="ar-SA"/>
        </w:rPr>
      </w:pPr>
      <w:r>
        <w:rPr>
          <w:rFonts w:cs="CenturyGothic" w:ascii="Verdana" w:hAnsi="Verdana"/>
          <w:iCs/>
          <w:lang w:bidi="ar-SA"/>
        </w:rPr>
      </w:r>
    </w:p>
    <w:p>
      <w:pPr>
        <w:pStyle w:val="Normal"/>
        <w:widowControl/>
        <w:jc w:val="left"/>
        <w:rPr/>
      </w:pPr>
      <w:r>
        <w:rPr>
          <w:rFonts w:cs="CenturyGothic" w:ascii="Verdana" w:hAnsi="Verdana"/>
          <w:iCs/>
          <w:lang w:bidi="ar-SA"/>
        </w:rPr>
        <w:t xml:space="preserve">Desde la Federación Canaria de Municipios, </w:t>
      </w:r>
      <w:r>
        <w:rPr>
          <w:rFonts w:cs="CenturyGothic" w:ascii="Verdana" w:hAnsi="Verdana"/>
          <w:lang w:bidi="ar-SA"/>
        </w:rPr>
        <w:t>consideramos que no podemos robarles a los niños y niñas sus derechos a disfrutar, a aprender, a jugar, a divertirse y a crecer como lo que son, como niños y niñas.</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CenturyGothic"/>
          <w:lang w:bidi="ar-SA"/>
        </w:rPr>
      </w:pPr>
      <w:r>
        <w:rPr>
          <w:rFonts w:cs="CenturyGothic" w:ascii="Verdana" w:hAnsi="Verdana"/>
          <w:lang w:bidi="ar-SA"/>
        </w:rPr>
        <w:t>Todos los días deberían ser reconocidos como el Día Mundial contra la Esclavitud Infantil. “La infancia de un país es su futuro”</w:t>
      </w:r>
    </w:p>
    <w:p>
      <w:pPr>
        <w:pStyle w:val="Normal"/>
        <w:widowControl/>
        <w:jc w:val="left"/>
        <w:rPr>
          <w:rFonts w:ascii="Verdana" w:hAnsi="Verdana" w:cs="CenturyGothic"/>
          <w:lang w:bidi="ar-SA"/>
        </w:rPr>
      </w:pPr>
      <w:r>
        <w:rPr>
          <w:rFonts w:cs="CenturyGothic" w:ascii="Verdana" w:hAnsi="Verdana"/>
          <w:lang w:bidi="ar-SA"/>
        </w:rPr>
      </w:r>
    </w:p>
    <w:p>
      <w:pPr>
        <w:pStyle w:val="Normal"/>
        <w:widowControl/>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dice que conmemorar estos días es de máxima importancia, sobre todo porque nos hace estar alertas y no olvidarnos de que a día de hoy, hay situaciones que se siguen dando, y no podemos ser permisivos y debemos denunciarlo. Los niños y las niñas son las personas más vulnerables y a la vez inocentes, ya que por su edad, no tienen ninguna malicia.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Don Vicente Mena Santana (Grupo Mixto: Cs) comenta que la protección a los menores es una de las cuestiones más  importantes, que debemos tener siempre presente, en todas las actuaciones. Hay lugares donde se da la esclavitud infantil y hay que erradicarla de manera total. Entiendo que es importante estar presente en este tipo de conmemoración.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manifiesta que este es un problema de múltiples caras, que no sólo abarca el trabajo infantil, sino que abarca también la trata de blanca de menores, el reclutamiento de niños soldados o matrimonios forzados.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nuestro país hay un pequeño porcentaje de uniones forzosas con  menores, principalmente en familias de inmigrantes. El informe “no acepto” realizado por varias Organizaciones sin ánimo de lucro, de nuestro país, señala la dificultad y las múltiples barreras que presenta este asunto, desde la idiomática hasta la falta de recursos. Acabar con el consumo de la prostitución es una de las vías para terminar  con la trata de menores y la esclavitud infantil, al igual que el consumir productos del comercio justo, y de empresas comprometidas  con la lucha contra el trabajo de menores. Otra vía, es exigir al Gobierno una mayor implicación en estos asuntos. Y por supuesto, ejercer tu poder, como consumidor, reclamando ese mismo ámbito al sector privado.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lang w:eastAsia="en-US" w:bidi="ar-SA"/>
        </w:rPr>
      </w:pPr>
      <w:r>
        <w:rPr>
          <w:rFonts w:eastAsia="Verdana" w:cs="Verdana" w:ascii="Verdana" w:hAnsi="Verdana"/>
          <w:lang w:eastAsia="en-US" w:bidi="ar-SA"/>
        </w:rPr>
        <w:t xml:space="preserve"> </w:t>
      </w:r>
      <w:r>
        <w:rPr>
          <w:rFonts w:cs="Times New Roman" w:ascii="Verdana" w:hAnsi="Verdana"/>
          <w:lang w:eastAsia="en-US" w:bidi="ar-SA"/>
        </w:rPr>
        <w:tab/>
        <w:t xml:space="preserve">El Sr. Alcalde dice que coincidimos todos en la necesidad de seguir luchando contra cualquier forma de esclavitud infantil.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declaración institucional sobre el día internacional contra la esclavitud infantil, el mismo es aprobado por unanimidad de los veinte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6.-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2021/5125B. MOCIÓN DEL GRUPO MIXTO (Cs) EN RELACIÓN A POTENCIAR LA CAPTACIÓN DE FONDOS EUROPEOS.-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Vicente Mena Santana da cuenta al Pleno, que en la Comisión Informativa de Hacienda, Especial de Cuentas y Administración General, se trató el tema de la moción del Grupo Mixto (Cs) en relación a potenciar la captación de fondos europeos.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“MOCIÓN EN RELACIÓN A POTENCIAR LA CAPTACIÓN DE FONDOS EUROPEOS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EXPOSICIÓN DE MOTIVOS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Nuestro país es uno de los países más afectados por la crisis derivada de la COVID, debido a esto y al contexto actual de lucha contra la pandemia, los efectos en la economía real y en la sociedad están siendo devastadores y se encuentran lejos de terminar.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Consejo Europeo reunido en sesión del 21 de julio de 2020, planteó ante la grave situación, la importancia de realizar un esfuerzo sin precedentes para impulsar la convergencia, la resiliencia y la transformación en todo el territorio comunitario, traduciéndose esto en los conocidos como “Fondos NExt Generation EU”, y siendo este un esfuerzo temporal y extraordinario que irá acompañado con los presupuestos de la UE.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 atendemos a las cifras, nos encontramos las siguientes áreas divididas en dos paquetes; los Fondos Next Generation EU y el Marco Financiero Plurianual 2021-2027:</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tbl>
      <w:tblPr>
        <w:tblW w:w="8988" w:type="dxa"/>
        <w:jc w:val="left"/>
        <w:tblInd w:w="-5" w:type="dxa"/>
        <w:tblCellMar>
          <w:top w:w="0" w:type="dxa"/>
          <w:left w:w="108" w:type="dxa"/>
          <w:bottom w:w="0" w:type="dxa"/>
          <w:right w:w="108" w:type="dxa"/>
        </w:tblCellMar>
      </w:tblPr>
      <w:tblGrid>
        <w:gridCol w:w="2244"/>
        <w:gridCol w:w="2244"/>
        <w:gridCol w:w="2245"/>
        <w:gridCol w:w="2255"/>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Area</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MFP 2021-2027</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Millones de €</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Next Generation EU</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Millones de €</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Total</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Millones de €</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Mercado único, innovación y economía digital</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132,800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10,600</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143,400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Cohesión, resiliencia y valores</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377,800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721,900</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1.099,700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Recursos naturales y medio ambiente</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356,400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17,500</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373,900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Migración y gestión de las fronteras</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22,700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22,700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Seguridad y defensa</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13,200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13,200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Vecindad y el mundo</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98,400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98,400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Administración pública europea</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73,100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snapToGrid w:val="false"/>
              <w:jc w:val="left"/>
              <w:rPr>
                <w:rFonts w:ascii="Verdana" w:hAnsi="Verdana" w:eastAsia="Times New Roman" w:cs="Times New Roman"/>
                <w:lang w:eastAsia="en-US" w:bidi="ar-SA"/>
              </w:rPr>
            </w:pPr>
            <w:r>
              <w:rPr>
                <w:rFonts w:eastAsia="Times New Roman" w:cs="Times New Roman" w:ascii="Verdana" w:hAnsi="Verdana"/>
                <w:lang w:eastAsia="en-US" w:bidi="ar-SA"/>
              </w:rPr>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73,100</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TOTAL</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1.074,300</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750,000</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t>1.824,300</w:t>
            </w:r>
          </w:p>
          <w:p>
            <w:pPr>
              <w:pStyle w:val="Normal"/>
              <w:widowControl/>
              <w:tabs>
                <w:tab w:val="left" w:pos="709" w:leader="none"/>
              </w:tabs>
              <w:autoSpaceDE w:val="true"/>
              <w:jc w:val="left"/>
              <w:rPr>
                <w:rFonts w:ascii="Verdana" w:hAnsi="Verdana" w:eastAsia="Times New Roman" w:cs="Times New Roman"/>
                <w:lang w:eastAsia="en-US" w:bidi="ar-SA"/>
              </w:rPr>
            </w:pPr>
            <w:r>
              <w:rPr>
                <w:rFonts w:eastAsia="Times New Roman" w:cs="Times New Roman" w:ascii="Verdana" w:hAnsi="Verdana"/>
                <w:lang w:eastAsia="en-US" w:bidi="ar-SA"/>
              </w:rPr>
            </w:r>
          </w:p>
        </w:tc>
      </w:tr>
    </w:tbl>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acuerdo del Consejo Europeo prevé financiación por hasta 140.000 millones de euros, y en consecuencia permitirá a España movilizar un volumen de inversión sin precedentes de 140.000 millones de estas ayudas europeas, de los cuales 72.700 millones en transferencias serán movilizados en los primeros tres años (2021-2023) para maximizar su impacto sobre la reconstrucción rápida de la economía. A ellos se suman los más de 79.000 millones de euros previstos por los fondos estructurales y por la PAC (Política Agrícola Común) para 2021-2027.</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envergadura de este reto requiere del concurso del conjunto de la sociedad, articulado a través del Gobierno, las Instituciones Europeas, el Parlamento, las CCAA, las Corporaciones Locales, y los agentes sociales.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Plan se estructura en torno 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-Cuatro ejes transversales: Transición Ecológica, Transformación Digital, Igualdad de Género y Cohesión Social y Territorial.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-Diez políticas palanca: Agenda urbana y rural y lucha contra la despoblación; infraestructuras y ecosistemas resilientes; Transición energética justa e inclusiva; Administración para el siglo XXI; Pacto por la ciencia y la innovación; Modernización y digitalización del tejido industrial y de la pyme, recuperación del turismo e impulso a una España Nación Emprendedora; Refuerzo de la capacidad del Sistema Nacional de Salud; Educación y conocimiento, formación continua y desarrollo de capacidades; Nueva economía de los ciudadanos y políticas de empleo; Impulso de la industria de la cultura y el deporte; Modernización del sistema fiscal para un crecimiento sostenible e inclusivo.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Las prioridades del Plan de Recuperación, Transformación y Resiliencia están completamente alineadas con las siete iniciativa bandera europeas recientemente presentadas por la Comisión en la Estrategia Anual de Crecimiento Sostenible 2021 o Flagship Initiatives.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Estas iniciativas bandera son: Apoyo a la electrificación; Integración de energías renovables y el hidrógeno renovable; Rehabilitación energética de edificios; Despliegue de infraestructura de recarga de vehículos eléctricos; Aumento de la cobertura 5-G a las diferentes regiones; Modernización y digitalización de las Administraciones Públicas; Mejora de la eficiencia energética de los procesadores y el crecimiento Big Data y de los servicios avanzados en la nube; y la Mejora de las cualificaciones profesionales en particular de las competencias digitales y de la formación profesional.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Los diferentes proyectos se irán desarrollando a lo largo de los próximos años, con un impulso inicial muy fuerte en el periodo 2021-2023, pero con un objetivo que trasciende de un único mandato político.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Las ciudades tienen un papel fundamental en la transformación económica y social, por su capacidad de generar actividad a corto plazo por todo el territorio español con efecto tractor sobre la industria y sectores clave como la construcción. De ahí la necesidad de preparar a nuestras ciudades y pueblos para los retos que ya están presentes, generando entornos urbanos más accesibles e inclusivos, respirables y sostenibles, inteligentes y dinámicos, y una mejora de la competitividad para el sector servicios, en todo el territorio e independientemente del tamaño del núcleo de población.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Los ayuntamientos como órganos de gobierno que son de los núcleos constituyen la administración pública más cercana al ciudadano, y por ello su acción no puede ser ajena o quedar apartada por completo de la participación en la asignación y reparto directo de parte de estos fondos del Instrumento Europeo de Recuperación y Resiliencia, incluso con una asignación directa, y sin perjuicio de los correspondientes mecanismos de control y vigilancia externos e internos.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participación directa y activa de los Gobiernos Locales en la gestión de Fondos Europeos para financiar proyectos en los ámbitos previstos en el Plan de Recuperación, Transformación y Resiliencia es, según la FEMP, fundamental para que el Plan funcione, porque las Corporaciones Locales son poseedoras de proyectos maduros, proyectos capaces de dinamizar las economías locales y generar empleo, y por tanto los Ayuntamientos tienen que jugar un importante papel en la ejecución de los Fondos Europeos, tanto en el ámbito de la transformación ecológica, como de la energía y la despoblación.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Los fondos europeos deben distribuirse con criterios técnicos y objetivos, alejados de los enfrentamientos partidistas. Para ello deberá de velarse por su ejecución transparente, eficiente, equilibrada y despolitizada de los recursos, a lo que sin duda contribuirá la naturaleza independiente del órgano encargado de ello.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agilización de los procedimientos administrativos vinculados a la gestión de los fondos europeos, y por tanto la agilización de la administración para que el dinero llegue lo antes posible a las familias, autónomos y empresas, debe venir acompañada de un refuerzo de los mecanismos de control, evaluación, selección, y fiscalización de proyectos a sufragar.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concreto los fondos Next Generation se regulan a través del Real Decreto- Ley 36/2020 de 30 de diciembre para la ejecución del plan de recuperación, transformación y resiliencia y la contratación pública en las entidades locales. De especial atención son su artículo 13. Elaboración y aprobación en el punto 2, el artículo 19. Conferencia Sectorial del Plan de Recuperación, Transformación y Resiliencia.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Ejemplos más cercanos a nivel local de la necesidad de estar preparados son las ocasiones en las que el propio ayuntamiento de Agüimes, a pesar de las propuestas de proyectos presentadas, ha perdido fondos como los EDUSI, para el desarrollo urbano sostenible o los propios fondos FEDER. Con la implantación de las propuestas que se proponen en esta moción se podría asumir con mayor seguridad la obtención de fondos para el municipio de Agüimes.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definitiva, estos son sólo ejemplos de las oportunidades de inversión que se podrían aprovechar desde el Ayuntamiento de Agüimes para reforzar su administración pública, haciéndola más eficiente y ofreciendo un mejor servicio al ciudadano, así como para el ecosistema empresarial de Agüimes facilitando las gestiones y la actividad empresarial.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PROPUESTA DE ACUERDO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PRIMERO.- </w:t>
        <w:tab/>
        <w:t>Que el Ayuntamiento de Agüimes promueva o se involucre en el acceso a los Fondos del Plan de Recuperación Europeo como oportunidad de desarrollo local, así como que reclame la gestión/disposición directa de los que le corresponda ejecutar en proyectos del municipio.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SEGUNDO.- Que se inicie por parte del Gobierno del municipio de Agüimes un paquete de proyectos a desarrollar en Agüimes, proponiendo o instando al Gobierno de España a incluirlo en el Plan de Reformas e Inversiones estatal.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TERCERO.- Informar a este Pleno de todos aquellos proyectos cuya inclusión en el Plan de Reformas e Inversiones estatal resultare finalmente propuesta al Gobierno de España por parte del Ayuntamiento de Agüimes.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CUARTO.- Que desde el Ayuntamiento de Agüimes se cree una Oficina Técnica para la captación de fondos europeos que permita la obtención de fondos europeos para el municipio de Agüimes, de forma estable y avalada por este pleno.”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dice que hace unos meses salió publicada una noticia, donde la Federación Valenciana de municipios y provincias, y la Generalitat Valenciana, presentaron un primer servicio de orientación en proyectos europeos, dirigidos a las administraciones locales. Sería una gran idea que pudiéramos copiar este modelo en Canarias. Esto supondría un gran avance. Apoya la moción de Ciudadanos.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apoya la propuesta que hace Ciudadanos. Las propuestas hechas por su grupo, como pueden ser los senderos azules, cartelería braille, tarjeta electrónica - ayuda social, accesibilidad en el municipio, brecha digital y parque canino, se pueden sumar a otras propuestas de los demás grupos, como proyectos para pedir ayudas al fondo europeo.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Tenemos que tener una oficina en exclusiva para la búsqueda de fondos europeos.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Queremos añadir a la moción, que se proponga al Cabildo de Gran Canaria, que se cree una oficina específica para estos fondos y que abarque todos los municipios de la isla.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Don Efraín González Rodríguez (RA) comenta que pendiente de la ratificación de la decisión de cada estado miembro, las administraciones públicas llevamos meses compartiendo información, sobre el anunciado plan de recuperación europea. El Gobierno del estado también presentó el plan de recuperación, transformación y resiliencia de la economía española, con la intención de movilizar los próximos tres años, el 50% de los recursos con los que cuenta España, gracias al instrumento Next Generation.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Ya en Canarias, a principios de noviembre de 2020, se presenta por parte de la Consejería de Transición Ecológica del Gobierno de Canarias, la plataforma virtual, donde se nos invitaba a volcar todos aquellos proyectos susceptibles de ser elegidos.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También en noviembre desde el Consejo Insular de la Energía, se nos informa y se nos ofrece colaboración directa, para la identificación y selección de actuaciones que  están directamente relacionadas con el pacto de las alcaldías.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Han sido innumerables las video reuniones a las que ha asistido este Ayuntamiento. Fruto de todos estos meses de trabajo, el Ayuntamiento de Agüimes  junto con la Mancomunidad del Sureste, el Cabildo y el Gobierno de Canarias, han realizado un estudio y han propuesto para este municipio, un total de 55 actuaciones, con una inversión de más de 150 millones de euros. De estas 55 actuaciones, el ayuntamiento ha presentado como propias 27 propuestas.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Agüimes existe una oficina técnica para la captación de los recursos, desde hace décadas, que es la Agencia de Desarrollo Local.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Por todo lo expuesto, van a votar en contra, ya que entendemos que la mayor parte de los puntos objeto de la votación, ya están en desarrollo. Reiteramos nuestra predisposición a recibir propuestas y sumar esfuerzos en esta y cualquier otra cuestión.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Santana (Grupo Mixto: Cs) responde que no le cabe duda de que el ayuntamiento de Agüimes no se ha quedado atrás en cuanto a organizar y financiar proyectos europeos. No obstante, esta es una situación diferente. Esta es una posibilidad de que todos los grupos políticos puedan contribuir en una propuesta unificada, puesto que esto es un paquete muy grande de financiación.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Toda la información que se nos está trasladando ahora, tenía que habérsenos trasladado antes y no esperar a la presentación de esta moción.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 importante, que dentro de la oficina técnica, se potencie una sección para la captación y desarrollo de los fondos europeos.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explica que se trata de un nuevo marco de financiación 2021-2027, por lo que no le parece lógico que no se apoye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Efraín González reitera que es un trabajo que se viene realizando desde hace muchos meses. </w:t>
      </w:r>
    </w:p>
    <w:p>
      <w:pPr>
        <w:pStyle w:val="Normal"/>
        <w:widowControl/>
        <w:tabs>
          <w:tab w:val="left" w:pos="709" w:leader="none"/>
        </w:tabs>
        <w:autoSpaceDE w:val="true"/>
        <w:jc w:val="left"/>
        <w:rPr/>
      </w:pPr>
      <w:r>
        <w:rPr>
          <w:rFonts w:cs="Times New Roman" w:ascii="Verdana" w:hAnsi="Verdana"/>
          <w:lang w:eastAsia="en-US" w:bidi="ar-SA"/>
        </w:rPr>
        <w:tab/>
        <w:t>En cuanto a la creación de una oficina específica para estos temas, nosotros hemos traído mociones a este pleno, debido a la situación de los recursos humanos en las Administraciones públicas, en cuanto a la posibilidad de contratación de personal.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Lo que tenemos es un nuevo marco esperanzador 2021 – 2027, donde por suerte contamos con la colaboración del Cabildo y del Gobierno de Canarias, para que ninguna administración de Canarias se quede atrás. Nosotros tenemos proyectos realizados y ya presentados. En cualquier momento nos podemos sentar y ver el listado y recoger las propuestas.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moción del Grupo Mixto: Cs, en relación a potenciar la captación de fondos europeos, el mismo NO es aprobado, con cuatro votos a favor (PSOE, Grupo Mixto: Cs y CC) y dieciséis votos en contra (</w:t>
      </w:r>
      <w:r>
        <w:rPr>
          <w:rFonts w:cs="Times New Roman" w:ascii="Verdana" w:hAnsi="Verdana"/>
          <w:lang w:eastAsia="en-US" w:bidi="ar-SA"/>
        </w:rPr>
        <w:t xml:space="preserve">Roque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7.- SECRETARIA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2021/5126N. MOCIÓN ROQUE AGUAYRO POR DECLARAR ESENCIAL LA PRÁCTICA DE LA ACTIVIDAD FÍSICA Y EL DEPORTE, EN CANARIAS.-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Carmen Rosa Guedes Martín da cuenta al Pleno, que en la Comisión Informativa de Derechos, Políticas Sociales y  Servicios Municipales, celebrada el día 16 de abril de 2021, se trató la moción del Grupo Roque Aguayro por declarar  esencial la práctica de la actividad física y el deporte, en Canarias.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r>
        <w:rPr>
          <w:rFonts w:cs="Times New Roman" w:ascii="Verdana" w:hAnsi="Verdana"/>
          <w:lang w:eastAsia="en-US" w:bidi="ar-SA"/>
        </w:rPr>
        <w:t>MOCIÓN POR DECLARAR LA PRÁCTICA DE LA ACTIVIDAD FÍSICA Y EL DEPORTE EN CANARIAS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Tahoma" w:ascii="Verdana" w:hAnsi="Verdana"/>
          <w:lang w:bidi="ar-SA"/>
        </w:rPr>
        <w:t>La Plataforma para la Reactivación de la Actividad Física y del Deporte de Canarias, se constituyó el día 22 de enero de 2021, por iniciativa y voluntad de sus propios miembros, como consecuencia de la publicación del 341 DECRETO 5/2021, de 21 de enero, del presidente del Gobierno de Canarias, con la finalidad de tratar de analizar y estudiar las consecuencias y repercusiones sociales y económicas que podrían afectar al sector. La Plataforma se constituye con la clara intención de tratar de mitigar los efectos negativos, ya que es posible que incida sobre más del 47 % de la población en Canarias, de distintas edades y zonas geográficas, practicantes de algunas de las actividades y, quizás, económicamente podría estar repercutiendo negativamente entre un 3 al 3,5 % del PIB (1.500 a 1.700 millones de euros), y a más de 20.000 trabajadores/as por el alto volumen que sus actividades, servicios, productos, construcción de instalaciones de infraestructuras y recursos humanos producen y dinamizan, de forma directa, indirecta e inducida en el sector económico de los distintos territorios de la Comunidad Autónoma de Canarias.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El deporte y las actividades físico-recreativas se han convertido en un extraordinario objeto producto y fenómeno social-político y económico del siglo XXI, de profunda actualidad y con gran presencia en todos los países del mundo, ayudado por el proceso irreversible de la globalización cultural y económica de nuestra generación.</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 xml:space="preserve">El deporte es un gran protagonista, auténtico motor impulsor de la sociedad y la economía, y lo demuestra claramente la atención que diariamente dedican y acaparan los espacios de los diversos medios de comunicación social en las múltiples manifestaciones deportivas: prensa, radio, televisión, redes sociales, así como, de grandes intereses económicos y comerciales en la organización y gestión de eventos y acontecimientos deportivos, nacionales e internacionales. </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El deporte, en sus múltiples variadas manifestaciones, se ha convertido en nuestro tiempo en una de las actividades sociales de mayor arraigo y capacidad de movilización y convocatoria (preámbulo de Ley General del Deporte, 1990).</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Como consecuencia de lo anterior, las políticas gubernamentales deberían planificar y desarrollar programas de intervención en la comunidad dirigidos a los niños, jóvenes, adultos, adultos mayores y poblaciones con diversidad funcional, donde esté presente la práctica de actividades físicas con la finalidad de disminuir la incidencia, la prevalencia y los riesgos en la salud. Al mismo tiempo, la Organización Mundial de la Salud (OMS) subraya que aumentar los niveles de actividad física es un problema de toda la sociedad y no sólo de las personas, y por este motivo exige un enfoque multisectorial, multidisciplinario y culturalmente pertinente.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b/>
          <w:b/>
          <w:bCs/>
          <w:lang w:bidi="ar-SA"/>
        </w:rPr>
      </w:pPr>
      <w:r>
        <w:rPr>
          <w:rFonts w:cs="Tahoma" w:ascii="Verdana" w:hAnsi="Verdana"/>
          <w:b/>
          <w:bCs/>
          <w:lang w:bidi="ar-SA"/>
        </w:rPr>
        <w:t>EXPOSICIÓN DE MOTIVOS</w:t>
      </w:r>
    </w:p>
    <w:p>
      <w:pPr>
        <w:pStyle w:val="Normal"/>
        <w:widowControl/>
        <w:jc w:val="left"/>
        <w:rPr>
          <w:rFonts w:ascii="Verdana" w:hAnsi="Verdana" w:cs="Tahoma"/>
          <w:b/>
          <w:b/>
          <w:bCs/>
          <w:lang w:bidi="ar-SA"/>
        </w:rPr>
      </w:pPr>
      <w:r>
        <w:rPr>
          <w:rFonts w:cs="Tahoma" w:ascii="Verdana" w:hAnsi="Verdana"/>
          <w:b/>
          <w:bCs/>
          <w:lang w:bidi="ar-SA"/>
        </w:rPr>
      </w:r>
    </w:p>
    <w:p>
      <w:pPr>
        <w:pStyle w:val="Normal"/>
        <w:widowControl/>
        <w:jc w:val="left"/>
        <w:rPr/>
      </w:pPr>
      <w:r>
        <w:rPr>
          <w:rFonts w:cs="Tahoma" w:ascii="Verdana" w:hAnsi="Verdana"/>
          <w:lang w:bidi="ar-SA"/>
        </w:rPr>
        <w:t>La Asociación del Deporte Español (ADESP) y el Observatorio Fundación España Activa en el Estudio del impacto de la COVID-19 sobre el ecosistema del Deporte en España (2020), plantea que el deporte es un agente económico de vital importancia, que mueve alrededor de 12.000 millones de euros al año, sin tener en cuenta los ingresos derivados del fútbol profesional. En el documento analizan el efecto de la crisis de la COVID-19, sobre los agentes responsables de atender la oferta deportiva estructurada, en la que participan de forma regular unos 9,5 millones de personas (4 millones de deportistas federados y 5,5 millones de usuarios de centros y servicios deportivos). Según este informe, derivado de la crisis provocada por la COVID-19, 1,4 millones de personas han dejado de practicar actividad física y deporte. En esta línea, comentan que la práctica regular de deporte y ejercicio es la poli-píldora más eficaz y eficiente para construir una sociedad más capaz, más feliz, y más  sostenible, teniendo en cuenta que en España el gasto anual previsto derivado de la inactividad física para el 2020 asciende a más de 1.800 millones de euros, cifra que puede aumentar en 508 millones de euros.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Todo lo anterior, derivó en pérdidas de aproximadamente 4.616 millones el pasado año 2020, y que desaparecieran entre 31.000 y 42.000 puestos de trabajo.</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Los datos existentes (Centro de Alertas y Emergencias Sanitarias) demuestran que en España los espacios de práctica deportiva han tenido una insignificante incidencia de contagios, representando solo un 0,22% del total de casos de COVID-19. Este porcentaje refuerza el mensaje de que, tomando todas las medidas de precaución adecuadas, la práctica físico-deportiva continúa siendo segura.</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El Consejo General de la Educación Física y Deportiva (Consejo COLEF), corporación de derecho público que integra a más de 16.000 educadores/as físico deportivos/as (profesionales colegiados/as con titulación universitaria en Ciencias de la Actividad Física y del Deporte), expresó a través de un manifiesto, su enorme preocupación por las medidas tomadas en relación con la limitación de la prestación de servicios de educación física, actividad física y deporte durante el desarrollo de la pandemia por COVID-19.</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El Consejo COLEF en su manifiesto considera:</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I. Que la práctica de educación física, actividad física y deporte constituye un derecho fundamental reconocido.</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II. Que la inactividad física es un grave problema de salud pública.</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III. Que durante el confinamiento se agravó la situación respecto a la inactividad física.</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IV. Que la promoción y protección de la práctica físico-deportiva puede ser beneficiosa para disminuir el riesgo de infección, así como la probabilidad de hospitalización por COVID-19, mientras que lo contrario podría condicionar negativamente la evolución de la pandemia.</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V. Que los datos muestran que la prestación de servicios de educación física, actividad física y deporte tiene un riesgo de contagio muy bajo.</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VI. Que la práctica físico-deportiva sin supervisión y autogestionada comporta mayores riesgos y no tiene la misma efectividad que aquella bajo la supervisión de personal cualificado.</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En esta misma línea el COLEF-Canarias publica un manifiesto el 27 de enero de 2021, en el que solicita, entre otras cosas: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«Que la prestación de servicios de educación física, actividad física y deporte, a cargo de profesionales y técnicos cualificados, se reconozca como actividad esencial, teniendo en cuenta que el acceso a estos constituye un derecho fundamental reconocido actualmente».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La LEY 1/2019, de 30 de enero, de la actividad física y el deporte de Canarias, en su articulado referente a la salud recoge lo siguiente:</w:t>
      </w:r>
    </w:p>
    <w:p>
      <w:pPr>
        <w:pStyle w:val="Normal"/>
        <w:widowControl/>
        <w:jc w:val="left"/>
        <w:rPr>
          <w:rFonts w:ascii="Verdana" w:hAnsi="Verdana" w:cs="Tahoma"/>
          <w:b/>
          <w:b/>
          <w:bCs/>
          <w:lang w:bidi="ar-SA"/>
        </w:rPr>
      </w:pPr>
      <w:r>
        <w:rPr>
          <w:rFonts w:cs="Tahoma" w:ascii="Verdana" w:hAnsi="Verdana"/>
          <w:b/>
          <w:bCs/>
          <w:lang w:bidi="ar-SA"/>
        </w:rPr>
      </w:r>
    </w:p>
    <w:p>
      <w:pPr>
        <w:pStyle w:val="Normal"/>
        <w:widowControl/>
        <w:jc w:val="left"/>
        <w:rPr/>
      </w:pPr>
      <w:r>
        <w:rPr>
          <w:rFonts w:cs="Tahoma" w:ascii="Verdana" w:hAnsi="Verdana"/>
          <w:b/>
          <w:bCs/>
          <w:lang w:bidi="ar-SA"/>
        </w:rPr>
        <w:t xml:space="preserve">Artículo 2.- </w:t>
      </w:r>
      <w:r>
        <w:rPr>
          <w:rFonts w:cs="Tahoma" w:ascii="Verdana" w:hAnsi="Verdana"/>
          <w:lang w:bidi="ar-SA"/>
        </w:rPr>
        <w:t>Funciones, reconocimiento y principios rectores del deporte.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1. La actividad física y el deporte en la Comunidad Autónoma de Canarias tiene la consideración de actividad de interés general que cumple funciones sociales, culturales, educativas, económicas y de salud y de respeto al medio ambiente.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3. Las administraciones públicas canarias, en el ámbito de sus competencias, garantizarán la práctica de la actividad físico-deportiva mediante: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pPr>
      <w:r>
        <w:rPr>
          <w:rFonts w:cs="Tahoma" w:ascii="Verdana" w:hAnsi="Verdana"/>
          <w:lang w:bidi="ar-SA"/>
        </w:rPr>
        <w:t>ñ) Las administraciones públicas canarias, en el ámbito de sus respectivas competencias y atendiendo a criterios de transversalidad, fomentarán la práctica deportiva como medida para la prevención de enfermedades, en especial, la obesidad, las enfermedades cardiovasculares, las enfermedades metabólicas y todas aquellas enfermedades relacionadas con el sedentarismo, o de tipo crónico prestando especial atención a la prescripción de la actividad deportiva como factor clave de prevención de estas enfermedades. Asimismo, fomentarán la actividad física y el deporte para la mejora de la salud o indicadores de la salud a través del deporte.</w:t>
      </w:r>
    </w:p>
    <w:p>
      <w:pPr>
        <w:pStyle w:val="Normal"/>
        <w:widowControl/>
        <w:jc w:val="left"/>
        <w:rPr>
          <w:rFonts w:ascii="Verdana" w:hAnsi="Verdana" w:cs="Tahoma"/>
          <w:b/>
          <w:b/>
          <w:bCs/>
          <w:lang w:bidi="ar-SA"/>
        </w:rPr>
      </w:pPr>
      <w:r>
        <w:rPr>
          <w:rFonts w:cs="Tahoma" w:ascii="Verdana" w:hAnsi="Verdana"/>
          <w:b/>
          <w:bCs/>
          <w:lang w:bidi="ar-SA"/>
        </w:rPr>
      </w:r>
    </w:p>
    <w:p>
      <w:pPr>
        <w:pStyle w:val="Normal"/>
        <w:widowControl/>
        <w:jc w:val="left"/>
        <w:rPr/>
      </w:pPr>
      <w:r>
        <w:rPr>
          <w:rFonts w:cs="Tahoma" w:ascii="Verdana" w:hAnsi="Verdana"/>
          <w:b/>
          <w:bCs/>
          <w:lang w:bidi="ar-SA"/>
        </w:rPr>
        <w:t xml:space="preserve">Artículo 7.- </w:t>
      </w:r>
      <w:r>
        <w:rPr>
          <w:rFonts w:cs="Tahoma" w:ascii="Verdana" w:hAnsi="Verdana"/>
          <w:lang w:bidi="ar-SA"/>
        </w:rPr>
        <w:t>Principios generales.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2. Además, las administraciones competentes en materia deportiva, coordinarán acciones con las competentes en materia de sanidad, para promover estrategias de salud preventiva a través del deporte. Asimismo, promoverán acciones en coordinación no solo con sanidad, sino con otros sistemas sectoriales, como, educación, juventud, seguridad, urbanismo, desarrollo e integración social, economía y turismo.</w:t>
      </w:r>
    </w:p>
    <w:p>
      <w:pPr>
        <w:pStyle w:val="Normal"/>
        <w:widowControl/>
        <w:jc w:val="left"/>
        <w:rPr>
          <w:rFonts w:ascii="Verdana" w:hAnsi="Verdana" w:cs="Tahoma"/>
          <w:b/>
          <w:b/>
          <w:bCs/>
          <w:lang w:bidi="ar-SA"/>
        </w:rPr>
      </w:pPr>
      <w:r>
        <w:rPr>
          <w:rFonts w:cs="Tahoma" w:ascii="Verdana" w:hAnsi="Verdana"/>
          <w:b/>
          <w:bCs/>
          <w:lang w:bidi="ar-SA"/>
        </w:rPr>
      </w:r>
    </w:p>
    <w:p>
      <w:pPr>
        <w:pStyle w:val="Normal"/>
        <w:widowControl/>
        <w:jc w:val="left"/>
        <w:rPr/>
      </w:pPr>
      <w:r>
        <w:rPr>
          <w:rFonts w:cs="Tahoma" w:ascii="Verdana" w:hAnsi="Verdana"/>
          <w:b/>
          <w:bCs/>
          <w:lang w:bidi="ar-SA"/>
        </w:rPr>
        <w:t xml:space="preserve">Artículo 9.- </w:t>
      </w:r>
      <w:r>
        <w:rPr>
          <w:rFonts w:cs="Tahoma" w:ascii="Verdana" w:hAnsi="Verdana"/>
          <w:lang w:bidi="ar-SA"/>
        </w:rPr>
        <w:t>Competencias comunes de las administraciones públicas canarias.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d) Fomentar la actividad física para la mejora de la salud o indicadores de la salud a través del deporte.</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rFonts w:ascii="Verdana" w:hAnsi="Verdana" w:cs="Tahoma"/>
          <w:lang w:bidi="ar-SA"/>
        </w:rPr>
      </w:pPr>
      <w:r>
        <w:rPr>
          <w:rFonts w:cs="Tahoma" w:ascii="Verdana" w:hAnsi="Verdana"/>
          <w:lang w:bidi="ar-SA"/>
        </w:rPr>
        <w:t>El pasado 5 de Febrero este Ayuntamiento hacía público su apoyo a la plataforma +Deporte para la reactivación de la práctica deportiva, formando parte además de su mesa de trabajo, a nivel técnico y político.</w:t>
      </w:r>
    </w:p>
    <w:p>
      <w:pPr>
        <w:pStyle w:val="Normal"/>
        <w:widowControl/>
        <w:jc w:val="left"/>
        <w:rPr>
          <w:rFonts w:ascii="Verdana" w:hAnsi="Verdana" w:eastAsia="SymbolMT;Arial Unicode MS" w:cs="SymbolMT;Arial Unicode MS"/>
          <w:lang w:bidi="ar-SA"/>
        </w:rPr>
      </w:pPr>
      <w:r>
        <w:rPr>
          <w:rFonts w:eastAsia="SymbolMT;Arial Unicode MS" w:cs="SymbolMT;Arial Unicode MS"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eastAsia="SymbolMT;Arial Unicode MS" w:cs="Tahoma" w:ascii="Verdana" w:hAnsi="Verdana"/>
          <w:lang w:bidi="ar-SA"/>
        </w:rPr>
        <w:t>En nuestro municipio la suspensión de la actividad física y deportiva por el cierre de las instalaciones afecta aproximadamente 100 personas en situación de ERTE en el servicio público y privado.</w:t>
      </w:r>
    </w:p>
    <w:p>
      <w:pPr>
        <w:pStyle w:val="Normal"/>
        <w:widowControl/>
        <w:jc w:val="left"/>
        <w:rPr>
          <w:rFonts w:ascii="Verdana" w:hAnsi="Verdana" w:eastAsia="SymbolMT;Arial Unicode MS" w:cs="SymbolMT;Arial Unicode MS"/>
          <w:lang w:bidi="ar-SA"/>
        </w:rPr>
      </w:pPr>
      <w:r>
        <w:rPr>
          <w:rFonts w:eastAsia="SymbolMT;Arial Unicode MS" w:cs="SymbolMT;Arial Unicode MS"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eastAsia="SymbolMT;Arial Unicode MS" w:cs="Tahoma" w:ascii="Verdana" w:hAnsi="Verdana"/>
          <w:lang w:bidi="ar-SA"/>
        </w:rPr>
        <w:t>Los usuarios y usuarias afectadas en la práctica federada alcanzan la cifra aproximada de 1.700 personas, mayoritariamente niños y jóvenes.</w:t>
      </w:r>
    </w:p>
    <w:p>
      <w:pPr>
        <w:pStyle w:val="Normal"/>
        <w:widowControl/>
        <w:jc w:val="left"/>
        <w:rPr>
          <w:rFonts w:ascii="Verdana" w:hAnsi="Verdana" w:eastAsia="SymbolMT;Arial Unicode MS" w:cs="SymbolMT;Arial Unicode MS"/>
          <w:lang w:bidi="ar-SA"/>
        </w:rPr>
      </w:pPr>
      <w:r>
        <w:rPr>
          <w:rFonts w:eastAsia="SymbolMT;Arial Unicode MS" w:cs="SymbolMT;Arial Unicode MS"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eastAsia="SymbolMT;Arial Unicode MS" w:cs="Tahoma" w:ascii="Verdana" w:hAnsi="Verdana"/>
          <w:lang w:bidi="ar-SA"/>
        </w:rPr>
        <w:t xml:space="preserve">La Actividad Física para Mayores, que se lleva a cabo desde la Concejalía de Mayores alcanza un número aproximadamente de 300 personas, siendo este </w:t>
      </w:r>
      <w:r>
        <w:rPr>
          <w:rFonts w:cs="Tahoma" w:ascii="Verdana" w:hAnsi="Verdana"/>
          <w:lang w:bidi="ar-SA"/>
        </w:rPr>
        <w:t>grupo de edad el que más ha visto mermada sus capacidades físicas y cognitivas por la interrupción de la actividad.</w:t>
      </w:r>
    </w:p>
    <w:p>
      <w:pPr>
        <w:pStyle w:val="Normal"/>
        <w:widowControl/>
        <w:jc w:val="left"/>
        <w:rPr>
          <w:rFonts w:ascii="Verdana" w:hAnsi="Verdana" w:eastAsia="SymbolMT;Arial Unicode MS" w:cs="SymbolMT;Arial Unicode MS"/>
          <w:lang w:bidi="ar-SA"/>
        </w:rPr>
      </w:pPr>
      <w:r>
        <w:rPr>
          <w:rFonts w:eastAsia="SymbolMT;Arial Unicode MS" w:cs="SymbolMT;Arial Unicode MS"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cs="Tahoma" w:ascii="Verdana" w:hAnsi="Verdana"/>
          <w:lang w:bidi="ar-SA"/>
        </w:rPr>
        <w:t>En cuanto al servicio deportivo municipal y todas las actividades que se promueven desde la Concejalía de Deportes se ven afectadas 15.000 personas aproximadamente y en los servicios deportivos privados la cifra alcanza a 3000 usuarios y usuarias.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cs="Tahoma" w:ascii="Verdana" w:hAnsi="Verdana"/>
          <w:lang w:bidi="ar-SA"/>
        </w:rPr>
        <w:t>Desde el grupo Roque Aguayro entendemos y defendemos que la actividad física y el deporte es, principalmente, “Promotor de Salud”. Además esta postura es apoyada por la Zona Básica de Salud De Agüimes, donde los sanitarios/as han notado un aumento de valores directamente relacionados con el síndrome metabólico, y sus consecuencias negativas.</w:t>
      </w:r>
    </w:p>
    <w:p>
      <w:pPr>
        <w:pStyle w:val="Normal"/>
        <w:widowControl/>
        <w:jc w:val="left"/>
        <w:rPr>
          <w:rFonts w:ascii="Verdana" w:hAnsi="Verdana" w:cs="Tahoma"/>
          <w:lang w:bidi="ar-SA"/>
        </w:rPr>
      </w:pPr>
      <w:r>
        <w:rPr>
          <w:rFonts w:cs="Tahoma" w:ascii="Verdana" w:hAnsi="Verdana"/>
          <w:lang w:bidi="ar-SA"/>
        </w:rPr>
      </w:r>
    </w:p>
    <w:p>
      <w:pPr>
        <w:pStyle w:val="Normal"/>
        <w:widowControl/>
        <w:jc w:val="left"/>
        <w:rPr/>
      </w:pPr>
      <w:r>
        <w:rPr>
          <w:rFonts w:eastAsia="SymbolMT;Arial Unicode MS" w:cs="SymbolMT;Arial Unicode MS" w:ascii="Verdana" w:hAnsi="Verdana"/>
          <w:lang w:bidi="ar-SA"/>
        </w:rPr>
        <w:t></w:t>
      </w:r>
      <w:r>
        <w:rPr>
          <w:rFonts w:eastAsia="Verdana" w:cs="Verdana" w:ascii="Verdana" w:hAnsi="Verdana"/>
          <w:lang w:bidi="ar-SA"/>
        </w:rPr>
        <w:t xml:space="preserve"> </w:t>
      </w:r>
      <w:r>
        <w:rPr>
          <w:rFonts w:eastAsia="SymbolMT;Arial Unicode MS" w:cs="Tahoma" w:ascii="Verdana" w:hAnsi="Verdana"/>
          <w:lang w:bidi="ar-SA"/>
        </w:rPr>
        <w:t>La práctica de actividad física y deporte es una herramienta de salud y educación, fundamental para la viabilidad de una sociedad sostenible y su carácter transversal (economía, turismo, integración social, prevención de las drogodependencias, seguridad, etc.), que merece sea considerada como un derecho ciudadano, garantizando su acceso efectivo y sin barreras sociales, culturales, políticas, religiosas, de género o de cualquier otra índole.</w:t>
      </w:r>
    </w:p>
    <w:p>
      <w:pPr>
        <w:pStyle w:val="Normal"/>
        <w:widowControl/>
        <w:jc w:val="left"/>
        <w:rPr>
          <w:rFonts w:ascii="Verdana" w:hAnsi="Verdana" w:eastAsia="SymbolMT;Arial Unicode MS" w:cs="Tahoma"/>
          <w:lang w:bidi="ar-SA"/>
        </w:rPr>
      </w:pPr>
      <w:r>
        <w:rPr>
          <w:rFonts w:eastAsia="SymbolMT;Arial Unicode MS" w:cs="Tahoma" w:ascii="Verdana" w:hAnsi="Verdana"/>
          <w:lang w:bidi="ar-SA"/>
        </w:rPr>
      </w:r>
    </w:p>
    <w:p>
      <w:pPr>
        <w:pStyle w:val="Normal"/>
        <w:widowControl/>
        <w:jc w:val="left"/>
        <w:rPr>
          <w:rFonts w:ascii="Verdana" w:hAnsi="Verdana" w:eastAsia="SymbolMT;Arial Unicode MS" w:cs="Tahoma"/>
          <w:lang w:bidi="ar-SA"/>
        </w:rPr>
      </w:pPr>
      <w:r>
        <w:rPr>
          <w:rFonts w:eastAsia="SymbolMT;Arial Unicode MS" w:cs="Tahoma" w:ascii="Verdana" w:hAnsi="Verdana"/>
          <w:lang w:bidi="ar-SA"/>
        </w:rPr>
        <w:t>Por todo ello, el Grupo Roque Aguayro propone al Pleno, para su aprobación, si procede, los siguientes puntos:</w:t>
      </w:r>
    </w:p>
    <w:p>
      <w:pPr>
        <w:pStyle w:val="Normal"/>
        <w:widowControl/>
        <w:jc w:val="left"/>
        <w:rPr>
          <w:rFonts w:ascii="Verdana" w:hAnsi="Verdana" w:eastAsia="SymbolMT;Arial Unicode MS" w:cs="Tahoma"/>
          <w:b/>
          <w:b/>
          <w:bCs/>
          <w:lang w:bidi="ar-SA"/>
        </w:rPr>
      </w:pPr>
      <w:r>
        <w:rPr>
          <w:rFonts w:eastAsia="SymbolMT;Arial Unicode MS" w:cs="Tahoma" w:ascii="Verdana" w:hAnsi="Verdana"/>
          <w:b/>
          <w:bCs/>
          <w:lang w:bidi="ar-SA"/>
        </w:rPr>
      </w:r>
    </w:p>
    <w:p>
      <w:pPr>
        <w:pStyle w:val="Normal"/>
        <w:widowControl/>
        <w:jc w:val="left"/>
        <w:rPr/>
      </w:pPr>
      <w:r>
        <w:rPr>
          <w:rFonts w:eastAsia="SymbolMT;Arial Unicode MS" w:cs="Tahoma" w:ascii="Verdana" w:hAnsi="Verdana"/>
          <w:b/>
          <w:bCs/>
          <w:lang w:bidi="ar-SA"/>
        </w:rPr>
        <w:t xml:space="preserve">PRIMERO.- </w:t>
      </w:r>
      <w:r>
        <w:rPr>
          <w:rFonts w:eastAsia="SymbolMT;Arial Unicode MS" w:cs="Tahoma" w:ascii="Verdana" w:hAnsi="Verdana"/>
          <w:lang w:bidi="ar-SA"/>
        </w:rPr>
        <w:t>Que la práctica de la actividad física y el deporte sea considerada a todos los efectos como una actividad esencial y no como una actividad de exclusivamente de ocio.</w:t>
      </w:r>
    </w:p>
    <w:p>
      <w:pPr>
        <w:pStyle w:val="Normal"/>
        <w:widowControl/>
        <w:jc w:val="left"/>
        <w:rPr>
          <w:rFonts w:ascii="Verdana" w:hAnsi="Verdana" w:eastAsia="SymbolMT;Arial Unicode MS" w:cs="Tahoma"/>
          <w:b/>
          <w:b/>
          <w:bCs/>
          <w:lang w:bidi="ar-SA"/>
        </w:rPr>
      </w:pPr>
      <w:r>
        <w:rPr>
          <w:rFonts w:eastAsia="SymbolMT;Arial Unicode MS" w:cs="Tahoma" w:ascii="Verdana" w:hAnsi="Verdana"/>
          <w:b/>
          <w:bCs/>
          <w:lang w:bidi="ar-SA"/>
        </w:rPr>
      </w:r>
    </w:p>
    <w:p>
      <w:pPr>
        <w:pStyle w:val="Normal"/>
        <w:widowControl/>
        <w:jc w:val="left"/>
        <w:rPr/>
      </w:pPr>
      <w:r>
        <w:rPr>
          <w:rFonts w:cs="Tahoma" w:ascii="Verdana" w:hAnsi="Verdana"/>
          <w:b/>
          <w:bCs/>
          <w:lang w:bidi="ar-SA"/>
        </w:rPr>
        <w:t xml:space="preserve">SEGUNDO.- </w:t>
      </w:r>
      <w:r>
        <w:rPr>
          <w:rFonts w:cs="Tahoma" w:ascii="Verdana" w:hAnsi="Verdana"/>
          <w:lang w:bidi="ar-SA"/>
        </w:rPr>
        <w:t>Dar traslado del acuerdo que se adopte, a la Plataforma para la reactivación de la Actividad Física y el Deporte de Canarias, a la Consejería de Educación, Universidades, Cultura y Deportes del Gobierno de Canarias y al Ministerio de Cultura y Deportes del Gobierno de España; para su conocimiento y efectos oportunos.”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dice que está totalmente de acuerdo con el texto de la moción. Ya desde febrero de 2021, la Comisión de cultura y deporte del Congreso aprobó una proposición, para la declaración de esta actividad como esencial. Es cierto que tenemos que seguir batallando sobre esto, por si volvemos a cambiar de fase y nos vuelven a cerrar los centros deportivos.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Vicente Mena Santana (Grupo Mixto: Cs) manifiesta que en el tiempo que nos ha tocado vivir, ha quedado demostrado que la actividad física y deportiva debe considerarse una actividad esencial, para el desarrollo de la persona y la salud de la misma. Apoya la reflexión que se hace desde el grupo de gobierno. Esa reflexión entra dentro del sentir general que tiene la población.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Don Mario Melián Hernández (PSOE) reitera lo dicho por la compañera Yanira. Desde el pasado 18 de febrero, España ha incluido el deporte como actividad esencial, tras la aprobación del proyecto no de ley, registrado desde el pasado 11 de diciembre de 2020, por el grupo parlamentario popular, y que contó con el apoyo del grupo socialista, tras una serie de modificaciones. No entendemos esta moción. Es una propuesta extemporánea. Se pide el traslado a las instituciones. No sabemos el por qué. Ya en febrero se da este apoyo a nivel del Congreso. Nuestra concejala apoyó la plataforma en el Cabildo.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Preguntamos qué compromisos van a haber en nuestras instalaciones deportivas, qué cambios van a haber en la gestión de la actividad deportiva en Agüimes, a partir de este apoyo.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Carmen Rosa Guedes Martín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contesta que no ha acudido al Cabildo a mostrar el apoyo. Lo que pasó en febrero fue tanto como esto, una declaración institucional, de hecho aún no se ha declarado a la actividad física como esencial.  Es cierto que la plataforma ha conseguido logros y apoyos de todos los grupos parlamentarios.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Doña Yanira Álvarez quiere aclarar que lo que se llevó en febrero al Congreso, si está aprobado.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moción del Grupo Roque Aguayro por declarar esencial la práctica de la actividad física y el deporte en Canarias, el mismo es aprobado por unanimidad de los veinte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8.- DACIÓN DE CUENTA DECRETOS DE LA ALCALDÍA, ACTAS DE LA JUNTA DE GOBIERNO LOCAL Y ACTAS DE LA JUNTA GENERAL DE LA MANCOMUNIDAD.-</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ind w:left="0" w:right="0" w:firstLine="709"/>
        <w:jc w:val="left"/>
        <w:rPr/>
      </w:pPr>
      <w:r>
        <w:rPr>
          <w:rFonts w:eastAsia="Times New Roman" w:cs="IBM Plex Sans;Arial" w:ascii="Verdana" w:hAnsi="Verdana"/>
          <w:color w:val="000000"/>
        </w:rPr>
        <w:tab/>
        <w:t>El Sr. Alcalde</w:t>
      </w:r>
      <w:r>
        <w:rPr>
          <w:rFonts w:cs="Verdana" w:ascii="Verdana" w:hAnsi="Verdana"/>
        </w:rPr>
        <w:t xml:space="preserve"> da cuenta de las actas de la Junta de Gobierno Local, celebradas desde el 22 de marzo de 2021 hasta el 5 de abril de 2021, y de los Decretos de la Alcaldía desde el 2021/654 al 2021/901. </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t>Asimismo, se da cuenta de las actas de la Junta General de la Mancomunidad, de fechas 9 de enero de 2021, 23 de febrero de 2021  y 16 de marzo de 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9.- ASUNTOS DE LA PRESIDENCIA.</w:t>
      </w:r>
    </w:p>
    <w:p>
      <w:pPr>
        <w:pStyle w:val="Normal"/>
        <w:widowControl/>
        <w:tabs>
          <w:tab w:val="left" w:pos="709" w:leader="none"/>
        </w:tabs>
        <w:autoSpaceDE w:val="true"/>
        <w:jc w:val="left"/>
        <w:rPr>
          <w:rFonts w:ascii="Verdana" w:hAnsi="Verdana" w:cs="Times New Roman"/>
          <w:b/>
          <w:b/>
          <w:lang w:eastAsia="en-US" w:bidi="ar-SA"/>
        </w:rPr>
      </w:pPr>
      <w:r>
        <w:rPr>
          <w:rFonts w:cs="Times New Roman" w:ascii="Verdana" w:hAnsi="Verdana"/>
          <w:b/>
          <w:lang w:eastAsia="en-US" w:bidi="ar-SA"/>
        </w:rPr>
        <w:tab/>
      </w:r>
    </w:p>
    <w:p>
      <w:pPr>
        <w:pStyle w:val="Normal"/>
        <w:widowControl/>
        <w:tabs>
          <w:tab w:val="left" w:pos="709" w:leader="none"/>
        </w:tabs>
        <w:autoSpaceDE w:val="true"/>
        <w:jc w:val="left"/>
        <w:rPr/>
      </w:pPr>
      <w:r>
        <w:rPr>
          <w:rFonts w:cs="Times New Roman" w:ascii="Verdana" w:hAnsi="Verdana"/>
          <w:b/>
          <w:lang w:eastAsia="en-US" w:bidi="ar-SA"/>
        </w:rPr>
        <w:tab/>
        <w:t xml:space="preserve">9A).- </w:t>
      </w:r>
      <w:r>
        <w:rPr>
          <w:rFonts w:cs="Times New Roman" w:ascii="Verdana" w:hAnsi="Verdana"/>
          <w:b/>
          <w:u w:val="single"/>
          <w:lang w:eastAsia="en-US" w:bidi="ar-SA"/>
        </w:rPr>
        <w:t>MODIFICACIÓN DEL PLAN DE COOPERACIÓN DEL CABILDO CON LOS AYUNTAMIENTOS, ANUALIDADES 2016-2019.-</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El Sr. Alcalde explica que aunque este tema se trató en la Comisión Informativa correspondiente</w:t>
      </w:r>
      <w:r>
        <w:rPr>
          <w:rFonts w:cs="Times New Roman" w:ascii="Verdana" w:hAnsi="Verdana"/>
          <w:b/>
          <w:lang w:eastAsia="en-US" w:bidi="ar-SA"/>
        </w:rPr>
        <w:t xml:space="preserve">, </w:t>
      </w:r>
      <w:r>
        <w:rPr>
          <w:rFonts w:cs="Times New Roman" w:ascii="Verdana" w:hAnsi="Verdana"/>
          <w:lang w:eastAsia="en-US" w:bidi="ar-SA"/>
        </w:rPr>
        <w:t>con posterioridad hubo que hacer algunos ajustes a solicitud del propio Cabildo de Gran Canaria, por lo que se hace necesario votar la urgencia del mismo, para poder ser tratado en este pleno, siendo aprobada la misma por unanimidad de los veinte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para su aprobación, si procede, de la siguiente propuesta: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spacing w:before="120" w:after="120"/>
        <w:jc w:val="left"/>
        <w:rPr>
          <w:rFonts w:ascii="Verdana" w:hAnsi="Verdana" w:cs="Verdana"/>
          <w:b/>
          <w:b/>
          <w:sz w:val="24"/>
          <w:szCs w:val="24"/>
        </w:rPr>
      </w:pPr>
      <w:r>
        <w:rPr>
          <w:rFonts w:cs="Verdana" w:ascii="Verdana" w:hAnsi="Verdana"/>
          <w:b/>
          <w:sz w:val="24"/>
          <w:szCs w:val="24"/>
        </w:rPr>
        <w:t>“</w:t>
      </w:r>
      <w:r>
        <w:rPr>
          <w:rFonts w:cs="Verdana" w:ascii="Verdana" w:hAnsi="Verdana"/>
          <w:b/>
          <w:sz w:val="24"/>
          <w:szCs w:val="24"/>
        </w:rPr>
        <w:t>PROPUESTA MUNICIPAL PARA LA MODIFICACIÓN DEL PLAN DE COOPERACIÓN CON LOS AYUNTAMIENTOS.</w:t>
      </w:r>
    </w:p>
    <w:p>
      <w:pPr>
        <w:pStyle w:val="Normal"/>
        <w:spacing w:before="120" w:after="120"/>
        <w:jc w:val="left"/>
        <w:rPr>
          <w:rFonts w:ascii="Verdana" w:hAnsi="Verdana" w:cs="Verdana"/>
          <w:b/>
          <w:b/>
          <w:sz w:val="24"/>
          <w:szCs w:val="24"/>
        </w:rPr>
      </w:pPr>
      <w:r>
        <w:rPr>
          <w:rFonts w:cs="Verdana" w:ascii="Verdana" w:hAnsi="Verdana"/>
          <w:b/>
          <w:sz w:val="24"/>
          <w:szCs w:val="24"/>
        </w:rPr>
        <w:t>ANUALIDADES 2016-2019.</w:t>
      </w:r>
    </w:p>
    <w:p>
      <w:pPr>
        <w:pStyle w:val="Normal"/>
        <w:jc w:val="left"/>
        <w:rPr>
          <w:rFonts w:ascii="Verdana" w:hAnsi="Verdana" w:cs="Verdana"/>
          <w:b/>
          <w:b/>
          <w:sz w:val="24"/>
          <w:szCs w:val="24"/>
        </w:rPr>
      </w:pPr>
      <w:r>
        <w:rPr>
          <w:rFonts w:cs="Verdana" w:ascii="Verdana" w:hAnsi="Verdana"/>
          <w:b/>
          <w:sz w:val="24"/>
          <w:szCs w:val="24"/>
        </w:rPr>
      </w:r>
    </w:p>
    <w:p>
      <w:pPr>
        <w:pStyle w:val="Normal"/>
        <w:jc w:val="left"/>
        <w:rPr>
          <w:rFonts w:ascii="Verdana" w:hAnsi="Verdana" w:eastAsia="Cambria" w:cs="Arial"/>
          <w:lang w:val="es-ES_tradnl"/>
        </w:rPr>
      </w:pPr>
      <w:r>
        <w:rPr>
          <w:rFonts w:eastAsia="Cambria" w:cs="Arial" w:ascii="Verdana" w:hAnsi="Verdana"/>
          <w:lang w:val="es-ES_tradnl"/>
        </w:rPr>
        <w:t>Efraín González Rodríguez, Concejal de Vías y Obras Públicas, Recursos Humanos y Movilidad, en relación a la PROPUESTA MUNICIPAL PARA LA MODIFICACIÓN DEL PLAN DE COOPERACIÓN CON LOS AYUNTAMIENTOS. ANUALIDADES 2016 - 2019, propone la toma de los siguientes acuerdos:</w:t>
      </w:r>
    </w:p>
    <w:p>
      <w:pPr>
        <w:pStyle w:val="Normal"/>
        <w:jc w:val="left"/>
        <w:rPr>
          <w:rFonts w:ascii="Verdana" w:hAnsi="Verdana" w:eastAsia="Cambria" w:cs="Arial"/>
          <w:lang w:val="es-ES_tradnl"/>
        </w:rPr>
      </w:pPr>
      <w:r>
        <w:rPr>
          <w:rFonts w:eastAsia="Cambria" w:cs="Arial" w:ascii="Verdana" w:hAnsi="Verdana"/>
          <w:lang w:val="es-ES_tradnl"/>
        </w:rPr>
      </w:r>
    </w:p>
    <w:p>
      <w:pPr>
        <w:pStyle w:val="Normal"/>
        <w:spacing w:before="120" w:after="120"/>
        <w:jc w:val="left"/>
        <w:rPr>
          <w:rFonts w:ascii="Verdana" w:hAnsi="Verdana" w:cs="Verdana"/>
          <w:b/>
          <w:b/>
        </w:rPr>
      </w:pPr>
      <w:r>
        <w:rPr>
          <w:rFonts w:cs="Verdana" w:ascii="Verdana" w:hAnsi="Verdana"/>
          <w:b/>
        </w:rPr>
        <w:t>ANTECEDENTES.-</w:t>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 xml:space="preserve">Con fecha 22 de enero de 2016 se le notifica la distribución plurianual asignada al Ayuntamiento de Agüimes por parte de la Consejería de Cooperación Institucional y Solidaridad Internacional la inversión prevista para el periodo 2016-2019, aprobadas por el pleno insular con fecha 30 de diciembre de 2015. </w:t>
      </w:r>
    </w:p>
    <w:p>
      <w:pPr>
        <w:pStyle w:val="Prrafodelista"/>
        <w:widowControl/>
        <w:autoSpaceDE w:val="true"/>
        <w:spacing w:before="120" w:after="120"/>
        <w:ind w:left="720" w:right="0" w:hanging="0"/>
        <w:contextualSpacing/>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Con fecha 26 de febrero de 2016 se adopta en sesión extraordinaria y urgente de la Junta de Gobierno Local acuerdo por Asuntos de la Presidencia del Plan de Cooperación con los Ayuntamientos 2016 – 2019, proponiéndose por anualidad, conceptos y financiación la siguientes actuaciones:</w:t>
      </w:r>
    </w:p>
    <w:p>
      <w:pPr>
        <w:pStyle w:val="Prrafodelista"/>
        <w:widowControl/>
        <w:spacing w:before="120" w:after="120"/>
        <w:contextualSpacing/>
        <w:jc w:val="left"/>
        <w:rPr>
          <w:rFonts w:ascii="Verdana" w:hAnsi="Verdana" w:cs="Verdana"/>
          <w:w w:val="117"/>
          <w:sz w:val="20"/>
          <w:szCs w:val="20"/>
        </w:rPr>
      </w:pPr>
      <w:r>
        <w:rPr>
          <w:rFonts w:cs="Verdana" w:ascii="Verdana" w:hAnsi="Verdana"/>
          <w:w w:val="117"/>
          <w:sz w:val="20"/>
          <w:szCs w:val="20"/>
        </w:rPr>
      </w:r>
    </w:p>
    <w:tbl>
      <w:tblPr>
        <w:tblW w:w="5000" w:type="pct"/>
        <w:jc w:val="left"/>
        <w:tblInd w:w="-5" w:type="dxa"/>
        <w:tblCellMar>
          <w:top w:w="0" w:type="dxa"/>
          <w:left w:w="70" w:type="dxa"/>
          <w:bottom w:w="0" w:type="dxa"/>
          <w:right w:w="70" w:type="dxa"/>
        </w:tblCellMar>
      </w:tblPr>
      <w:tblGrid>
        <w:gridCol w:w="281"/>
        <w:gridCol w:w="3081"/>
        <w:gridCol w:w="785"/>
        <w:gridCol w:w="660"/>
        <w:gridCol w:w="399"/>
        <w:gridCol w:w="660"/>
        <w:gridCol w:w="511"/>
        <w:gridCol w:w="659"/>
        <w:gridCol w:w="399"/>
        <w:gridCol w:w="660"/>
        <w:gridCol w:w="409"/>
      </w:tblGrid>
      <w:tr>
        <w:trPr>
          <w:tblHeader w:val="true"/>
          <w:trHeight w:val="204" w:hRule="atLeast"/>
        </w:trPr>
        <w:tc>
          <w:tcPr>
            <w:tcW w:w="2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Nº</w:t>
            </w:r>
          </w:p>
        </w:tc>
        <w:tc>
          <w:tcPr>
            <w:tcW w:w="30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Denominación actuación</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Ppto.</w:t>
            </w:r>
          </w:p>
        </w:tc>
        <w:tc>
          <w:tcPr>
            <w:tcW w:w="4357" w:type="dxa"/>
            <w:gridSpan w:val="8"/>
            <w:tcBorders>
              <w:top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Distribución de la financiación</w:t>
            </w:r>
          </w:p>
        </w:tc>
      </w:tr>
      <w:tr>
        <w:trPr>
          <w:tblHeader w:val="true"/>
          <w:trHeight w:val="204" w:hRule="atLeast"/>
        </w:trPr>
        <w:tc>
          <w:tcPr>
            <w:tcW w:w="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0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59" w:type="dxa"/>
            <w:gridSpan w:val="2"/>
            <w:tcBorders>
              <w:top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2016</w:t>
            </w:r>
          </w:p>
        </w:tc>
        <w:tc>
          <w:tcPr>
            <w:tcW w:w="1171" w:type="dxa"/>
            <w:gridSpan w:val="2"/>
            <w:tcBorders>
              <w:top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2017</w:t>
            </w:r>
          </w:p>
        </w:tc>
        <w:tc>
          <w:tcPr>
            <w:tcW w:w="1058" w:type="dxa"/>
            <w:gridSpan w:val="2"/>
            <w:tcBorders>
              <w:top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2018</w:t>
            </w:r>
          </w:p>
        </w:tc>
        <w:tc>
          <w:tcPr>
            <w:tcW w:w="1069" w:type="dxa"/>
            <w:gridSpan w:val="2"/>
            <w:tcBorders>
              <w:top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2019</w:t>
            </w:r>
          </w:p>
        </w:tc>
      </w:tr>
      <w:tr>
        <w:trPr>
          <w:tblHeader w:val="true"/>
          <w:trHeight w:val="204" w:hRule="atLeast"/>
        </w:trPr>
        <w:tc>
          <w:tcPr>
            <w:tcW w:w="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30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660"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Cabildo</w:t>
            </w:r>
          </w:p>
        </w:tc>
        <w:tc>
          <w:tcPr>
            <w:tcW w:w="399"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Ayto</w:t>
            </w:r>
          </w:p>
        </w:tc>
        <w:tc>
          <w:tcPr>
            <w:tcW w:w="660"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Cabildo</w:t>
            </w:r>
          </w:p>
        </w:tc>
        <w:tc>
          <w:tcPr>
            <w:tcW w:w="511"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Ayto</w:t>
            </w:r>
          </w:p>
        </w:tc>
        <w:tc>
          <w:tcPr>
            <w:tcW w:w="659"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Cabildo</w:t>
            </w:r>
          </w:p>
        </w:tc>
        <w:tc>
          <w:tcPr>
            <w:tcW w:w="399"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Ayto</w:t>
            </w:r>
          </w:p>
        </w:tc>
        <w:tc>
          <w:tcPr>
            <w:tcW w:w="660"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Cabildo</w:t>
            </w:r>
          </w:p>
        </w:tc>
        <w:tc>
          <w:tcPr>
            <w:tcW w:w="409" w:type="dxa"/>
            <w:tcBorders>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Ayto</w:t>
            </w:r>
          </w:p>
        </w:tc>
      </w:tr>
      <w:tr>
        <w:trPr>
          <w:trHeight w:val="435" w:hRule="atLeast"/>
        </w:trPr>
        <w:tc>
          <w:tcPr>
            <w:tcW w:w="8504" w:type="dxa"/>
            <w:gridSpan w:val="11"/>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left"/>
              <w:rPr/>
            </w:pPr>
            <w:r>
              <w:rPr>
                <w:rFonts w:cs="Arial" w:ascii="Verdana" w:hAnsi="Verdana"/>
                <w:b/>
                <w:bCs/>
                <w:sz w:val="16"/>
                <w:szCs w:val="16"/>
              </w:rPr>
              <w:t>1.- Sección:</w:t>
            </w:r>
            <w:r>
              <w:rPr>
                <w:rFonts w:cs="Verdana" w:ascii="Verdana" w:hAnsi="Verdana"/>
              </w:rPr>
              <w:t xml:space="preserve"> </w:t>
            </w:r>
            <w:r>
              <w:rPr>
                <w:rFonts w:cs="Arial" w:ascii="Verdana" w:hAnsi="Verdana"/>
                <w:b/>
                <w:bCs/>
                <w:sz w:val="16"/>
                <w:szCs w:val="16"/>
              </w:rPr>
              <w:t>Cooperación económica al establecimiento y adecuada prestación de los servicios mínimos obligatorios de competencia municipal.</w:t>
            </w:r>
          </w:p>
        </w:tc>
      </w:tr>
      <w:tr>
        <w:trPr>
          <w:trHeight w:val="402" w:hRule="atLeast"/>
        </w:trPr>
        <w:tc>
          <w:tcPr>
            <w:tcW w:w="281" w:type="dxa"/>
            <w:tcBorders>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1</w:t>
            </w:r>
          </w:p>
        </w:tc>
        <w:tc>
          <w:tcPr>
            <w:tcW w:w="3081" w:type="dxa"/>
            <w:tcBorders>
              <w:bottom w:val="single" w:sz="4" w:space="0" w:color="000000"/>
              <w:right w:val="single" w:sz="4" w:space="0" w:color="000000"/>
            </w:tcBorders>
            <w:vAlign w:val="center"/>
          </w:tcPr>
          <w:p>
            <w:pPr>
              <w:pStyle w:val="Normal"/>
              <w:jc w:val="left"/>
              <w:rPr/>
            </w:pPr>
            <w:r>
              <w:rPr>
                <w:rFonts w:cs="Arial" w:ascii="Verdana" w:hAnsi="Verdana"/>
                <w:sz w:val="14"/>
                <w:szCs w:val="14"/>
                <w:lang w:val="es-ES_tradnl"/>
              </w:rPr>
              <w:t>CENTRO DE COLECTIVOS “LA TABLILLA”</w:t>
            </w:r>
            <w:r>
              <w:rPr>
                <w:rFonts w:cs="Arial" w:ascii="Verdana" w:hAnsi="Verdana"/>
                <w:sz w:val="16"/>
                <w:szCs w:val="16"/>
              </w:rPr>
              <w:t> </w:t>
            </w:r>
          </w:p>
        </w:tc>
        <w:tc>
          <w:tcPr>
            <w:tcW w:w="785"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1.908.262,16</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173.315,54</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511"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59"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40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r>
      <w:tr>
        <w:trPr>
          <w:trHeight w:val="402" w:hRule="atLeast"/>
        </w:trPr>
        <w:tc>
          <w:tcPr>
            <w:tcW w:w="281" w:type="dxa"/>
            <w:tcBorders>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2</w:t>
            </w:r>
          </w:p>
        </w:tc>
        <w:tc>
          <w:tcPr>
            <w:tcW w:w="3081" w:type="dxa"/>
            <w:tcBorders>
              <w:bottom w:val="single" w:sz="4" w:space="0" w:color="000000"/>
              <w:right w:val="single" w:sz="4" w:space="0" w:color="000000"/>
            </w:tcBorders>
            <w:vAlign w:val="center"/>
          </w:tcPr>
          <w:p>
            <w:pPr>
              <w:pStyle w:val="Normal"/>
              <w:jc w:val="left"/>
              <w:rPr/>
            </w:pPr>
            <w:r>
              <w:rPr>
                <w:rFonts w:cs="Arial" w:ascii="Verdana" w:hAnsi="Verdana"/>
                <w:sz w:val="14"/>
                <w:szCs w:val="14"/>
                <w:lang w:val="es-ES_tradnl"/>
              </w:rPr>
              <w:t>PAVIMENTACIÓN ASFÁLTICA DEL MUNICIPIO DE AGÜIMES</w:t>
            </w:r>
            <w:r>
              <w:rPr>
                <w:rFonts w:cs="Arial" w:ascii="Verdana" w:hAnsi="Verdana"/>
                <w:sz w:val="16"/>
                <w:szCs w:val="16"/>
              </w:rPr>
              <w:t> </w:t>
            </w:r>
          </w:p>
        </w:tc>
        <w:tc>
          <w:tcPr>
            <w:tcW w:w="785"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340.000</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340.000</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131.453€</w:t>
            </w:r>
          </w:p>
        </w:tc>
        <w:tc>
          <w:tcPr>
            <w:tcW w:w="511"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98.547€</w:t>
            </w:r>
          </w:p>
        </w:tc>
        <w:tc>
          <w:tcPr>
            <w:tcW w:w="659"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40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r>
      <w:tr>
        <w:trPr>
          <w:trHeight w:val="402" w:hRule="atLeast"/>
        </w:trPr>
        <w:tc>
          <w:tcPr>
            <w:tcW w:w="281" w:type="dxa"/>
            <w:tcBorders>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3</w:t>
            </w:r>
          </w:p>
        </w:tc>
        <w:tc>
          <w:tcPr>
            <w:tcW w:w="3081"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ESTUDIOS, REDACCIÓN DE PROYECTOS Y DIRECCIÓN DE OBRA</w:t>
            </w:r>
          </w:p>
        </w:tc>
        <w:tc>
          <w:tcPr>
            <w:tcW w:w="785"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70.000</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70.000</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511"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59"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40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r>
      <w:tr>
        <w:trPr>
          <w:trHeight w:val="402" w:hRule="atLeast"/>
        </w:trPr>
        <w:tc>
          <w:tcPr>
            <w:tcW w:w="3362"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b/>
                <w:b/>
                <w:bCs/>
                <w:sz w:val="16"/>
                <w:szCs w:val="16"/>
              </w:rPr>
            </w:pPr>
            <w:r>
              <w:rPr>
                <w:rFonts w:cs="Arial" w:ascii="Verdana" w:hAnsi="Verdana"/>
                <w:b/>
                <w:bCs/>
                <w:sz w:val="16"/>
                <w:szCs w:val="16"/>
              </w:rPr>
              <w:t>Total PCA 2016 - 2019</w:t>
            </w:r>
          </w:p>
        </w:tc>
        <w:tc>
          <w:tcPr>
            <w:tcW w:w="785" w:type="dxa"/>
            <w:tcBorders>
              <w:bottom w:val="single" w:sz="4" w:space="0" w:color="000000"/>
              <w:right w:val="single" w:sz="4" w:space="0" w:color="000000"/>
            </w:tcBorders>
            <w:vAlign w:val="center"/>
          </w:tcPr>
          <w:p>
            <w:pPr>
              <w:pStyle w:val="Normal"/>
              <w:jc w:val="left"/>
              <w:rPr/>
            </w:pPr>
            <w:r>
              <w:rPr>
                <w:rFonts w:cs="Arial" w:ascii="Verdana" w:hAnsi="Verdana"/>
                <w:b/>
                <w:bCs/>
                <w:sz w:val="16"/>
                <w:szCs w:val="16"/>
              </w:rPr>
              <w:t> </w:t>
            </w:r>
            <w:r>
              <w:rPr>
                <w:rFonts w:cs="Arial" w:ascii="Verdana" w:hAnsi="Verdana"/>
                <w:sz w:val="14"/>
                <w:szCs w:val="14"/>
                <w:lang w:val="es-ES_tradnl"/>
              </w:rPr>
              <w:t>2.313.262,16</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511"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59"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39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c>
          <w:tcPr>
            <w:tcW w:w="660" w:type="dxa"/>
            <w:tcBorders>
              <w:bottom w:val="single" w:sz="4" w:space="0" w:color="000000"/>
              <w:right w:val="single" w:sz="4" w:space="0" w:color="000000"/>
            </w:tcBorders>
            <w:vAlign w:val="center"/>
          </w:tcPr>
          <w:p>
            <w:pPr>
              <w:pStyle w:val="Normal"/>
              <w:jc w:val="left"/>
              <w:rPr>
                <w:rFonts w:ascii="Verdana" w:hAnsi="Verdana" w:cs="Arial"/>
                <w:sz w:val="14"/>
                <w:szCs w:val="14"/>
                <w:lang w:val="es-ES_tradnl"/>
              </w:rPr>
            </w:pPr>
            <w:r>
              <w:rPr>
                <w:rFonts w:cs="Arial" w:ascii="Verdana" w:hAnsi="Verdana"/>
                <w:sz w:val="14"/>
                <w:szCs w:val="14"/>
                <w:lang w:val="es-ES_tradnl"/>
              </w:rPr>
              <w:t>578.315,54</w:t>
            </w:r>
          </w:p>
        </w:tc>
        <w:tc>
          <w:tcPr>
            <w:tcW w:w="409" w:type="dxa"/>
            <w:tcBorders>
              <w:bottom w:val="single" w:sz="4" w:space="0" w:color="000000"/>
              <w:right w:val="single" w:sz="4" w:space="0" w:color="000000"/>
            </w:tcBorders>
            <w:shd w:fill="D9D9D9" w:val="clear"/>
            <w:vAlign w:val="center"/>
          </w:tcPr>
          <w:p>
            <w:pPr>
              <w:pStyle w:val="Normal"/>
              <w:jc w:val="left"/>
              <w:rPr>
                <w:rFonts w:ascii="Verdana" w:hAnsi="Verdana" w:cs="Arial"/>
                <w:sz w:val="14"/>
                <w:szCs w:val="14"/>
                <w:lang w:val="es-ES_tradnl"/>
              </w:rPr>
            </w:pPr>
            <w:r>
              <w:rPr>
                <w:rFonts w:cs="Arial" w:ascii="Verdana" w:hAnsi="Verdana"/>
                <w:sz w:val="14"/>
                <w:szCs w:val="14"/>
                <w:lang w:val="es-ES_tradnl"/>
              </w:rPr>
              <w:t>-----</w:t>
            </w:r>
          </w:p>
        </w:tc>
      </w:tr>
    </w:tbl>
    <w:p>
      <w:pPr>
        <w:pStyle w:val="Prrafodelista"/>
        <w:widowControl/>
        <w:spacing w:before="120" w:after="120"/>
        <w:contextualSpacing/>
        <w:jc w:val="left"/>
        <w:rPr>
          <w:rFonts w:ascii="Verdana" w:hAnsi="Verdana" w:cs="Verdana"/>
          <w:w w:val="117"/>
          <w:sz w:val="20"/>
          <w:szCs w:val="20"/>
        </w:rPr>
      </w:pPr>
      <w:r>
        <w:rPr>
          <w:rFonts w:cs="Verdana" w:ascii="Verdana" w:hAnsi="Verdana"/>
          <w:w w:val="117"/>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 xml:space="preserve">El pleno ordinario de 29 de febrero de 2016 del Ayuntamiento de Agüimes aprueba el acuerdo tomado en Junta de Gobierno Local, de fecha 26 de febrero de 2016, para el Plan de Cooperación con los Ayuntamientos. </w:t>
      </w:r>
    </w:p>
    <w:p>
      <w:pPr>
        <w:pStyle w:val="Prrafodelista"/>
        <w:widowControl/>
        <w:autoSpaceDE w:val="true"/>
        <w:spacing w:before="120" w:after="120"/>
        <w:ind w:left="720" w:right="0" w:hanging="0"/>
        <w:contextualSpacing/>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El 28 de julio de 2017 se aprueba en sesión plenaria ordinaria del Cabildo Insular de Gran Canaria el “Plan de Cooperación con los Ayuntamientos, anualidad 2017, en el que entre los asuntos de urgencia se propone en el punto primero aprobar el plan de cooperación con los Ayuntamientos, correspondiente a los municipios de Agüimes, entre otros, relativo a la siguiente actuación y su reparto por anualidades:</w:t>
      </w:r>
    </w:p>
    <w:p>
      <w:pPr>
        <w:pStyle w:val="Prrafodelista"/>
        <w:widowControl/>
        <w:spacing w:before="120" w:after="120"/>
        <w:ind w:left="360" w:right="0" w:hanging="361"/>
        <w:contextualSpacing/>
        <w:jc w:val="left"/>
        <w:rPr>
          <w:rFonts w:ascii="Verdana" w:hAnsi="Verdana" w:cs="Verdana"/>
          <w:w w:val="117"/>
          <w:sz w:val="20"/>
          <w:szCs w:val="20"/>
        </w:rPr>
      </w:pPr>
      <w:r>
        <w:rPr>
          <w:rFonts w:cs="Verdana" w:ascii="Verdana" w:hAnsi="Verdana"/>
          <w:w w:val="117"/>
          <w:sz w:val="20"/>
          <w:szCs w:val="20"/>
        </w:rPr>
      </w:r>
    </w:p>
    <w:tbl>
      <w:tblPr>
        <w:tblW w:w="8694" w:type="dxa"/>
        <w:jc w:val="left"/>
        <w:tblInd w:w="377" w:type="dxa"/>
        <w:tblCellMar>
          <w:top w:w="0" w:type="dxa"/>
          <w:left w:w="108" w:type="dxa"/>
          <w:bottom w:w="0" w:type="dxa"/>
          <w:right w:w="108" w:type="dxa"/>
        </w:tblCellMar>
      </w:tblPr>
      <w:tblGrid>
        <w:gridCol w:w="1431"/>
        <w:gridCol w:w="2405"/>
        <w:gridCol w:w="1804"/>
        <w:gridCol w:w="1559"/>
        <w:gridCol w:w="1495"/>
      </w:tblGrid>
      <w:tr>
        <w:trPr/>
        <w:tc>
          <w:tcPr>
            <w:tcW w:w="1431" w:type="dxa"/>
            <w:vMerge w:val="restart"/>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Nº Expediente</w:t>
            </w:r>
          </w:p>
        </w:tc>
        <w:tc>
          <w:tcPr>
            <w:tcW w:w="2405" w:type="dxa"/>
            <w:vMerge w:val="restart"/>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Descripción de la actuación</w:t>
            </w:r>
          </w:p>
        </w:tc>
        <w:tc>
          <w:tcPr>
            <w:tcW w:w="1804" w:type="dxa"/>
            <w:vMerge w:val="restart"/>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Presupuesto</w:t>
            </w:r>
          </w:p>
        </w:tc>
        <w:tc>
          <w:tcPr>
            <w:tcW w:w="3054" w:type="dxa"/>
            <w:gridSpan w:val="2"/>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Financiación</w:t>
            </w:r>
          </w:p>
          <w:p>
            <w:pPr>
              <w:pStyle w:val="Normal"/>
              <w:jc w:val="left"/>
              <w:rPr>
                <w:rFonts w:ascii="Verdana" w:hAnsi="Verdana" w:cs="Arial"/>
                <w:b/>
                <w:b/>
                <w:sz w:val="16"/>
                <w:szCs w:val="16"/>
              </w:rPr>
            </w:pPr>
            <w:r>
              <w:rPr>
                <w:rFonts w:cs="Arial" w:ascii="Verdana" w:hAnsi="Verdana"/>
                <w:b/>
                <w:sz w:val="16"/>
                <w:szCs w:val="16"/>
              </w:rPr>
            </w:r>
          </w:p>
        </w:tc>
      </w:tr>
      <w:tr>
        <w:trPr/>
        <w:tc>
          <w:tcPr>
            <w:tcW w:w="1431" w:type="dxa"/>
            <w:vMerge w:val="continue"/>
            <w:tcBorders>
              <w:top w:val="single" w:sz="4" w:space="0" w:color="000000"/>
              <w:left w:val="single" w:sz="4" w:space="0" w:color="000000"/>
              <w:bottom w:val="single" w:sz="4" w:space="0" w:color="000000"/>
              <w:right w:val="single" w:sz="4" w:space="0" w:color="000000"/>
            </w:tcBorders>
            <w:shd w:fill="C0C0C0" w:val="clear"/>
            <w:vAlign w:val="center"/>
          </w:tcPr>
          <w:p>
            <w:pPr>
              <w:pStyle w:val="Normal"/>
              <w:rPr/>
            </w:pPr>
            <w:r>
              <w:rPr/>
            </w:r>
          </w:p>
        </w:tc>
        <w:tc>
          <w:tcPr>
            <w:tcW w:w="2405" w:type="dxa"/>
            <w:vMerge w:val="continue"/>
            <w:tcBorders>
              <w:top w:val="single" w:sz="4" w:space="0" w:color="000000"/>
              <w:left w:val="single" w:sz="4" w:space="0" w:color="000000"/>
              <w:bottom w:val="single" w:sz="4" w:space="0" w:color="000000"/>
              <w:right w:val="single" w:sz="4" w:space="0" w:color="000000"/>
            </w:tcBorders>
            <w:shd w:fill="C0C0C0" w:val="clear"/>
            <w:vAlign w:val="center"/>
          </w:tcPr>
          <w:p>
            <w:pPr>
              <w:pStyle w:val="Normal"/>
              <w:rPr/>
            </w:pPr>
            <w:r>
              <w:rPr/>
            </w:r>
          </w:p>
        </w:tc>
        <w:tc>
          <w:tcPr>
            <w:tcW w:w="1804" w:type="dxa"/>
            <w:vMerge w:val="continue"/>
            <w:tcBorders>
              <w:top w:val="single" w:sz="4" w:space="0" w:color="000000"/>
              <w:left w:val="single" w:sz="4" w:space="0" w:color="000000"/>
              <w:bottom w:val="single" w:sz="4" w:space="0" w:color="000000"/>
              <w:right w:val="single" w:sz="4" w:space="0" w:color="000000"/>
            </w:tcBorders>
            <w:shd w:fill="C0C0C0" w:val="clear"/>
            <w:vAlign w:val="center"/>
          </w:tcPr>
          <w:p>
            <w:pPr>
              <w:pStyle w:val="Normal"/>
              <w:rPr/>
            </w:pPr>
            <w:r>
              <w:rPr/>
            </w:r>
          </w:p>
        </w:tc>
        <w:tc>
          <w:tcPr>
            <w:tcW w:w="1559" w:type="dxa"/>
            <w:tcBorders>
              <w:top w:val="single" w:sz="4" w:space="0" w:color="000000"/>
              <w:left w:val="single" w:sz="4" w:space="0" w:color="000000"/>
              <w:bottom w:val="single" w:sz="12"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Cabildo</w:t>
            </w:r>
          </w:p>
        </w:tc>
        <w:tc>
          <w:tcPr>
            <w:tcW w:w="1495" w:type="dxa"/>
            <w:tcBorders>
              <w:top w:val="single" w:sz="4" w:space="0" w:color="000000"/>
              <w:left w:val="single" w:sz="4" w:space="0" w:color="000000"/>
              <w:bottom w:val="single" w:sz="12" w:space="0" w:color="000000"/>
              <w:right w:val="single" w:sz="4" w:space="0" w:color="000000"/>
            </w:tcBorders>
            <w:shd w:fill="C0C0C0" w:val="clear"/>
            <w:vAlign w:val="center"/>
          </w:tcPr>
          <w:p>
            <w:pPr>
              <w:pStyle w:val="Normal"/>
              <w:jc w:val="left"/>
              <w:rPr>
                <w:rFonts w:ascii="Verdana" w:hAnsi="Verdana" w:cs="Arial"/>
                <w:b/>
                <w:b/>
                <w:sz w:val="16"/>
                <w:szCs w:val="16"/>
              </w:rPr>
            </w:pPr>
            <w:r>
              <w:rPr>
                <w:rFonts w:cs="Arial" w:ascii="Verdana" w:hAnsi="Verdana"/>
                <w:b/>
                <w:sz w:val="16"/>
                <w:szCs w:val="16"/>
              </w:rPr>
              <w:t>Ayuntamiento</w:t>
            </w:r>
          </w:p>
        </w:tc>
      </w:tr>
      <w:tr>
        <w:trPr/>
        <w:tc>
          <w:tcPr>
            <w:tcW w:w="1431" w:type="dxa"/>
            <w:tcBorders>
              <w:top w:val="single" w:sz="12" w:space="0" w:color="000000"/>
              <w:left w:val="single" w:sz="12" w:space="0" w:color="000000"/>
              <w:bottom w:val="single" w:sz="12" w:space="0" w:color="000000"/>
            </w:tcBorders>
            <w:vAlign w:val="center"/>
          </w:tcPr>
          <w:p>
            <w:pPr>
              <w:pStyle w:val="Normal"/>
              <w:jc w:val="left"/>
              <w:rPr>
                <w:rFonts w:ascii="Verdana" w:hAnsi="Verdana" w:cs="Arial"/>
                <w:sz w:val="16"/>
                <w:szCs w:val="16"/>
              </w:rPr>
            </w:pPr>
            <w:r>
              <w:rPr>
                <w:rFonts w:cs="Arial" w:ascii="Verdana" w:hAnsi="Verdana"/>
                <w:sz w:val="16"/>
                <w:szCs w:val="16"/>
              </w:rPr>
              <w:t>16.PCA.02.00</w:t>
            </w:r>
          </w:p>
        </w:tc>
        <w:tc>
          <w:tcPr>
            <w:tcW w:w="2405" w:type="dxa"/>
            <w:tcBorders>
              <w:top w:val="single" w:sz="12" w:space="0" w:color="000000"/>
              <w:bottom w:val="single" w:sz="12" w:space="0" w:color="000000"/>
            </w:tcBorders>
            <w:vAlign w:val="center"/>
          </w:tcPr>
          <w:p>
            <w:pPr>
              <w:pStyle w:val="Normal"/>
              <w:jc w:val="left"/>
              <w:rPr>
                <w:rFonts w:ascii="Verdana" w:hAnsi="Verdana" w:cs="Arial"/>
                <w:b/>
                <w:b/>
                <w:sz w:val="16"/>
                <w:szCs w:val="16"/>
              </w:rPr>
            </w:pPr>
            <w:r>
              <w:rPr>
                <w:rFonts w:cs="Arial" w:ascii="Verdana" w:hAnsi="Verdana"/>
                <w:b/>
                <w:sz w:val="16"/>
                <w:szCs w:val="16"/>
              </w:rPr>
              <w:t>Centro de colectivos La Tablilla (Agüimes)</w:t>
            </w:r>
          </w:p>
        </w:tc>
        <w:tc>
          <w:tcPr>
            <w:tcW w:w="1804" w:type="dxa"/>
            <w:tcBorders>
              <w:top w:val="single" w:sz="12" w:space="0" w:color="000000"/>
              <w:bottom w:val="single" w:sz="12" w:space="0" w:color="000000"/>
            </w:tcBorders>
            <w:vAlign w:val="center"/>
          </w:tcPr>
          <w:p>
            <w:pPr>
              <w:pStyle w:val="Normal"/>
              <w:jc w:val="left"/>
              <w:rPr>
                <w:rFonts w:ascii="Verdana" w:hAnsi="Verdana" w:cs="Arial"/>
                <w:sz w:val="16"/>
                <w:szCs w:val="16"/>
              </w:rPr>
            </w:pPr>
            <w:r>
              <w:rPr>
                <w:rFonts w:cs="Arial" w:ascii="Verdana" w:hAnsi="Verdana"/>
                <w:sz w:val="16"/>
                <w:szCs w:val="16"/>
              </w:rPr>
              <w:t>1.908.262,16</w:t>
            </w:r>
          </w:p>
        </w:tc>
        <w:tc>
          <w:tcPr>
            <w:tcW w:w="1559" w:type="dxa"/>
            <w:tcBorders>
              <w:top w:val="single" w:sz="12" w:space="0" w:color="000000"/>
              <w:bottom w:val="single" w:sz="12" w:space="0" w:color="000000"/>
            </w:tcBorders>
            <w:vAlign w:val="center"/>
          </w:tcPr>
          <w:p>
            <w:pPr>
              <w:pStyle w:val="Normal"/>
              <w:jc w:val="left"/>
              <w:rPr>
                <w:rFonts w:ascii="Verdana" w:hAnsi="Verdana" w:cs="Arial"/>
                <w:sz w:val="16"/>
                <w:szCs w:val="16"/>
              </w:rPr>
            </w:pPr>
            <w:r>
              <w:rPr>
                <w:rFonts w:cs="Arial" w:ascii="Verdana" w:hAnsi="Verdana"/>
                <w:sz w:val="16"/>
                <w:szCs w:val="16"/>
              </w:rPr>
              <w:t>1.720.896,62</w:t>
            </w:r>
          </w:p>
        </w:tc>
        <w:tc>
          <w:tcPr>
            <w:tcW w:w="1495" w:type="dxa"/>
            <w:tcBorders>
              <w:top w:val="single" w:sz="12" w:space="0" w:color="000000"/>
              <w:bottom w:val="single" w:sz="12" w:space="0" w:color="000000"/>
              <w:right w:val="single" w:sz="12" w:space="0" w:color="000000"/>
            </w:tcBorders>
            <w:vAlign w:val="center"/>
          </w:tcPr>
          <w:p>
            <w:pPr>
              <w:pStyle w:val="Normal"/>
              <w:jc w:val="left"/>
              <w:rPr>
                <w:rFonts w:ascii="Verdana" w:hAnsi="Verdana" w:cs="Arial"/>
                <w:sz w:val="16"/>
                <w:szCs w:val="16"/>
              </w:rPr>
            </w:pPr>
            <w:r>
              <w:rPr>
                <w:rFonts w:cs="Arial" w:ascii="Verdana" w:hAnsi="Verdana"/>
                <w:sz w:val="16"/>
                <w:szCs w:val="16"/>
              </w:rPr>
              <w:t>187.365,54</w:t>
            </w:r>
          </w:p>
        </w:tc>
      </w:tr>
      <w:tr>
        <w:trPr/>
        <w:tc>
          <w:tcPr>
            <w:tcW w:w="1431" w:type="dxa"/>
            <w:tcBorders>
              <w:top w:val="single" w:sz="12" w:space="0" w:color="000000"/>
              <w:left w:val="single" w:sz="4" w:space="0" w:color="000000"/>
              <w:bottom w:val="single" w:sz="4" w:space="0" w:color="000000"/>
              <w:right w:val="single" w:sz="4" w:space="0" w:color="000000"/>
            </w:tcBorders>
            <w:vAlign w:val="center"/>
          </w:tcPr>
          <w:p>
            <w:pPr>
              <w:pStyle w:val="Normal"/>
              <w:snapToGrid w:val="false"/>
              <w:jc w:val="left"/>
              <w:rPr>
                <w:rFonts w:ascii="Verdana" w:hAnsi="Verdana" w:cs="Arial"/>
                <w:sz w:val="16"/>
                <w:szCs w:val="16"/>
              </w:rPr>
            </w:pPr>
            <w:r>
              <w:rPr>
                <w:rFonts w:cs="Arial" w:ascii="Verdana" w:hAnsi="Verdana"/>
                <w:sz w:val="16"/>
                <w:szCs w:val="16"/>
              </w:rPr>
            </w:r>
          </w:p>
        </w:tc>
        <w:tc>
          <w:tcPr>
            <w:tcW w:w="2405" w:type="dxa"/>
            <w:tcBorders>
              <w:top w:val="single" w:sz="12"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PCA 2016</w:t>
            </w:r>
          </w:p>
        </w:tc>
        <w:tc>
          <w:tcPr>
            <w:tcW w:w="1804" w:type="dxa"/>
            <w:tcBorders>
              <w:top w:val="single" w:sz="12"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2.000,00</w:t>
            </w:r>
          </w:p>
        </w:tc>
        <w:tc>
          <w:tcPr>
            <w:tcW w:w="1559" w:type="dxa"/>
            <w:tcBorders>
              <w:top w:val="single" w:sz="12"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2.000,00</w:t>
            </w:r>
          </w:p>
        </w:tc>
        <w:tc>
          <w:tcPr>
            <w:tcW w:w="1495" w:type="dxa"/>
            <w:tcBorders>
              <w:top w:val="single" w:sz="12"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w:t>
            </w:r>
          </w:p>
        </w:tc>
      </w:tr>
      <w:tr>
        <w:trPr/>
        <w:tc>
          <w:tcPr>
            <w:tcW w:w="143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left"/>
              <w:rPr>
                <w:rFonts w:ascii="Verdana" w:hAnsi="Verdana" w:cs="Arial"/>
                <w:sz w:val="16"/>
                <w:szCs w:val="16"/>
              </w:rPr>
            </w:pPr>
            <w:r>
              <w:rPr>
                <w:rFonts w:cs="Arial" w:ascii="Verdana" w:hAnsi="Verdana"/>
                <w:sz w:val="16"/>
                <w:szCs w:val="16"/>
              </w:rPr>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PCA 2017</w:t>
            </w:r>
          </w:p>
        </w:tc>
        <w:tc>
          <w:tcPr>
            <w:tcW w:w="180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567.080,54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567.080,54</w:t>
            </w:r>
          </w:p>
        </w:tc>
        <w:tc>
          <w:tcPr>
            <w:tcW w:w="149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w:t>
            </w:r>
          </w:p>
        </w:tc>
      </w:tr>
      <w:tr>
        <w:trPr/>
        <w:tc>
          <w:tcPr>
            <w:tcW w:w="143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left"/>
              <w:rPr>
                <w:rFonts w:ascii="Verdana" w:hAnsi="Verdana" w:cs="Arial"/>
                <w:sz w:val="16"/>
                <w:szCs w:val="16"/>
              </w:rPr>
            </w:pPr>
            <w:r>
              <w:rPr>
                <w:rFonts w:cs="Arial" w:ascii="Verdana" w:hAnsi="Verdana"/>
                <w:sz w:val="16"/>
                <w:szCs w:val="16"/>
              </w:rPr>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PCA 2018</w:t>
            </w:r>
          </w:p>
        </w:tc>
        <w:tc>
          <w:tcPr>
            <w:tcW w:w="180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760.866,08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573.500,54</w:t>
            </w:r>
          </w:p>
        </w:tc>
        <w:tc>
          <w:tcPr>
            <w:tcW w:w="149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187.365,54</w:t>
            </w:r>
          </w:p>
        </w:tc>
      </w:tr>
      <w:tr>
        <w:trPr/>
        <w:tc>
          <w:tcPr>
            <w:tcW w:w="143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left"/>
              <w:rPr>
                <w:rFonts w:ascii="Verdana" w:hAnsi="Verdana" w:cs="Arial"/>
                <w:sz w:val="16"/>
                <w:szCs w:val="16"/>
              </w:rPr>
            </w:pPr>
            <w:r>
              <w:rPr>
                <w:rFonts w:cs="Arial" w:ascii="Verdana" w:hAnsi="Verdana"/>
                <w:sz w:val="16"/>
                <w:szCs w:val="16"/>
              </w:rPr>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PCA 2019</w:t>
            </w:r>
          </w:p>
        </w:tc>
        <w:tc>
          <w:tcPr>
            <w:tcW w:w="180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578.315,54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578.315,54</w:t>
            </w:r>
          </w:p>
        </w:tc>
        <w:tc>
          <w:tcPr>
            <w:tcW w:w="149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Arial"/>
                <w:sz w:val="16"/>
                <w:szCs w:val="16"/>
              </w:rPr>
            </w:pPr>
            <w:r>
              <w:rPr>
                <w:rFonts w:cs="Arial" w:ascii="Verdana" w:hAnsi="Verdana"/>
                <w:sz w:val="16"/>
                <w:szCs w:val="16"/>
              </w:rPr>
              <w:t>-</w:t>
            </w:r>
          </w:p>
        </w:tc>
      </w:tr>
    </w:tbl>
    <w:p>
      <w:pPr>
        <w:pStyle w:val="Prrafodelista"/>
        <w:widowControl/>
        <w:spacing w:before="120" w:after="120"/>
        <w:ind w:left="360" w:right="0" w:hanging="361"/>
        <w:contextualSpacing/>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El 3 de noviembre de 2017 se suscribe contrato con la empresa Arquitania Business S.L. por un importe de 1.398.202,84 € más 97.874,19 € en concepto de igic.</w:t>
      </w:r>
    </w:p>
    <w:p>
      <w:pPr>
        <w:pStyle w:val="Prrafodelista"/>
        <w:widowControl/>
        <w:autoSpaceDE w:val="true"/>
        <w:spacing w:before="120" w:after="120"/>
        <w:ind w:left="720" w:right="0" w:hanging="0"/>
        <w:contextualSpacing/>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 xml:space="preserve">El 20 de junio de 2018, la empresa Arquitania Business S.L. remite escrito con registro número 12310 en el Ayuntamiento de Agüimes, manifestando que no va continuar con la ejecución de la obra. </w:t>
      </w:r>
    </w:p>
    <w:p>
      <w:pPr>
        <w:pStyle w:val="Prrafodelista"/>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La sesión ordinaria de la Junta de Gobierno Local celebrada el día 26 de julio de 2018 acuerda el inicio de expediente de resolución del contrato de ejecución de la obra “Centro de Colectivos La Tablilla”.</w:t>
      </w:r>
    </w:p>
    <w:p>
      <w:pPr>
        <w:pStyle w:val="Prrafodelista"/>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En vista a los informes recabados con fecha 20 de octubre de 2020, se aprueba por unanimidad en Junta de Gobierno Local de 26 de octubre de 2020 la resolución del contrato con Arquitania Business.</w:t>
      </w:r>
    </w:p>
    <w:p>
      <w:pPr>
        <w:pStyle w:val="Prrafodelista"/>
        <w:jc w:val="left"/>
        <w:rPr>
          <w:rFonts w:ascii="Verdana" w:hAnsi="Verdana" w:cs="Arial"/>
          <w:sz w:val="20"/>
          <w:szCs w:val="20"/>
        </w:rPr>
      </w:pPr>
      <w:r>
        <w:rPr>
          <w:rFonts w:cs="Arial" w:ascii="Verdana" w:hAnsi="Verdana"/>
          <w:sz w:val="20"/>
          <w:szCs w:val="20"/>
        </w:rPr>
      </w:r>
    </w:p>
    <w:p>
      <w:pPr>
        <w:pStyle w:val="Prrafodelista"/>
        <w:widowControl/>
        <w:numPr>
          <w:ilvl w:val="0"/>
          <w:numId w:val="3"/>
        </w:numPr>
        <w:autoSpaceDE w:val="true"/>
        <w:spacing w:before="120" w:after="120"/>
        <w:contextualSpacing/>
        <w:jc w:val="left"/>
        <w:rPr>
          <w:rFonts w:ascii="Verdana" w:hAnsi="Verdana" w:cs="Arial"/>
          <w:sz w:val="20"/>
          <w:szCs w:val="20"/>
        </w:rPr>
      </w:pPr>
      <w:r>
        <w:rPr>
          <w:rFonts w:cs="Arial" w:ascii="Verdana" w:hAnsi="Verdana"/>
          <w:sz w:val="20"/>
          <w:szCs w:val="20"/>
        </w:rPr>
        <w:t>El 23 de febrero de 2021 se recibe desde la Consejería de Cooperación Institucional y Solidad Internacional requerimiento relativo al expediente 20.PCA.02.00 con el asunto Plan de Cooperación con los Ayuntamientos donde se cita textualmente:</w:t>
      </w:r>
    </w:p>
    <w:p>
      <w:pPr>
        <w:pStyle w:val="Normal"/>
        <w:jc w:val="left"/>
        <w:rPr>
          <w:rFonts w:ascii="Verdana" w:hAnsi="Verdana" w:cs="Arial"/>
          <w:i/>
          <w:i/>
        </w:rPr>
      </w:pPr>
      <w:r>
        <w:rPr>
          <w:rFonts w:cs="Arial" w:ascii="Verdana" w:hAnsi="Verdana"/>
          <w:i/>
        </w:rPr>
        <w:t>“…</w:t>
      </w:r>
      <w:r>
        <w:rPr>
          <w:rFonts w:cs="Arial" w:ascii="Verdana" w:hAnsi="Verdana"/>
          <w:i/>
        </w:rPr>
        <w:t xml:space="preserve">se pone en su conocimiento que se ha llevado a cabo por esta Consejería un estudio del grado de ejecución de las obras correspondientes a ese Ayuntamiento incluidas en los distintos Planes de Cooperación aprobados hasta el momento. El detalle de obras pendientes se encuentra recogido en el anexo adjunto a este escrito. De esta manera y, de conformidad con las normas que regulan los diferentes Planes, se comunica lo siguiente: </w:t>
      </w:r>
    </w:p>
    <w:p>
      <w:pPr>
        <w:pStyle w:val="Normal"/>
        <w:jc w:val="left"/>
        <w:rPr>
          <w:rFonts w:ascii="Verdana" w:hAnsi="Verdana" w:cs="Arial"/>
          <w:i/>
          <w:i/>
        </w:rPr>
      </w:pPr>
      <w:r>
        <w:rPr>
          <w:rFonts w:cs="Arial" w:ascii="Verdana" w:hAnsi="Verdana"/>
          <w:i/>
        </w:rPr>
      </w:r>
    </w:p>
    <w:p>
      <w:pPr>
        <w:pStyle w:val="Normal"/>
        <w:numPr>
          <w:ilvl w:val="0"/>
          <w:numId w:val="4"/>
        </w:numPr>
        <w:suppressAutoHyphens w:val="true"/>
        <w:autoSpaceDE w:val="true"/>
        <w:jc w:val="left"/>
        <w:rPr>
          <w:rFonts w:ascii="Verdana" w:hAnsi="Verdana" w:cs="Arial"/>
          <w:i/>
          <w:i/>
        </w:rPr>
      </w:pPr>
      <w:r>
        <w:rPr>
          <w:rFonts w:cs="Arial" w:ascii="Verdana" w:hAnsi="Verdana"/>
          <w:i/>
        </w:rPr>
        <w:t xml:space="preserve">PLAN DE COOPERACIÓN CON LOS AYUNTAMIENTOS 2016-2019. </w:t>
      </w:r>
    </w:p>
    <w:p>
      <w:pPr>
        <w:pStyle w:val="Normal"/>
        <w:ind w:left="360" w:right="0" w:hanging="0"/>
        <w:jc w:val="left"/>
        <w:rPr>
          <w:rFonts w:ascii="Verdana" w:hAnsi="Verdana" w:cs="Arial"/>
          <w:i/>
          <w:i/>
        </w:rPr>
      </w:pPr>
      <w:r>
        <w:rPr>
          <w:rFonts w:cs="Arial" w:ascii="Verdana" w:hAnsi="Verdana"/>
          <w:i/>
        </w:rPr>
        <w:t xml:space="preserve">Las actuaciones incluidas en este Plan, de conformidad con su normativa reguladora, debían estar finalizados antes del 10 de diciembre del ejercicio en el que fueron programadas, encontrándose dicho plazo, a día de hoy, ampliamente superado. Para permitir la conclusión de las obras del Plan, con carácter extraordinario, por esta Consejería se están realizando los trámites para incorporar los créditos presupuestarios correspondientes a estas obras al presente ejercicio, estando prevista la liquidación del Plan y, por tanto, la anulación de los créditos no gastados con el cierre del ejercicio presupuestario de 2021. Para evitar los perjuicios que dicha anulación ocasionaría al Ayuntamiento de Agüimes debe atenderse a lo siguiente: </w:t>
      </w:r>
    </w:p>
    <w:p>
      <w:pPr>
        <w:pStyle w:val="Normal"/>
        <w:ind w:left="360" w:right="0" w:hanging="0"/>
        <w:jc w:val="left"/>
        <w:rPr>
          <w:rFonts w:ascii="Verdana" w:hAnsi="Verdana" w:cs="Arial"/>
          <w:i/>
          <w:i/>
        </w:rPr>
      </w:pPr>
      <w:r>
        <w:rPr>
          <w:rFonts w:cs="Arial" w:ascii="Verdana" w:hAnsi="Verdana"/>
          <w:i/>
        </w:rPr>
      </w:r>
    </w:p>
    <w:p>
      <w:pPr>
        <w:pStyle w:val="Normal"/>
        <w:numPr>
          <w:ilvl w:val="0"/>
          <w:numId w:val="5"/>
        </w:numPr>
        <w:jc w:val="left"/>
        <w:rPr>
          <w:rFonts w:ascii="Verdana" w:hAnsi="Verdana" w:cs="Arial"/>
          <w:i/>
          <w:i/>
        </w:rPr>
      </w:pPr>
      <w:r>
        <w:rPr>
          <w:rFonts w:cs="Arial" w:ascii="Verdana" w:hAnsi="Verdana"/>
          <w:i/>
        </w:rPr>
        <w:t xml:space="preserve">Se establece como fecha límite para la presentación en este Cabildo Insular de certificaciones, facturas y restante documentación justificativa de la realización de las obras incluidas en estos Planes el 30 de junio de 2021. </w:t>
      </w:r>
    </w:p>
    <w:p>
      <w:pPr>
        <w:pStyle w:val="Normal"/>
        <w:ind w:left="360" w:right="0" w:hanging="0"/>
        <w:jc w:val="left"/>
        <w:rPr>
          <w:rFonts w:ascii="Verdana" w:hAnsi="Verdana" w:cs="Arial"/>
          <w:i/>
          <w:i/>
        </w:rPr>
      </w:pPr>
      <w:r>
        <w:rPr>
          <w:rFonts w:cs="Arial" w:ascii="Verdana" w:hAnsi="Verdana"/>
          <w:i/>
        </w:rPr>
      </w:r>
    </w:p>
    <w:p>
      <w:pPr>
        <w:pStyle w:val="Normal"/>
        <w:numPr>
          <w:ilvl w:val="0"/>
          <w:numId w:val="5"/>
        </w:numPr>
        <w:jc w:val="left"/>
        <w:rPr/>
      </w:pPr>
      <w:r>
        <w:rPr>
          <w:rFonts w:cs="Arial" w:ascii="Verdana" w:hAnsi="Verdana"/>
          <w:i/>
        </w:rPr>
        <w:t>Cualquier ampliación, debidamente justificada, de dicho plazo tendrá en cuenta que las obras deberán estar ejecutadas y la documentación justificativa de la misma remitida al Cabildo de Gran Canaria antes del 10 de diciembre de 2021. Si llegada dicha fecha, no se hubiese remitido, el Cabildo de Gran Canaria quedará exento de cualquier responsabilidad frente a terceros, debiendo asumir, por tanto, el Ayuntamiento cualquier reclamación al respecto.</w:t>
      </w:r>
      <w:r>
        <w:rPr>
          <w:rFonts w:cs="Arial" w:ascii="Verdana" w:hAnsi="Verdana"/>
        </w:rPr>
        <w:t xml:space="preserve"> </w:t>
      </w:r>
    </w:p>
    <w:p>
      <w:pPr>
        <w:pStyle w:val="Prrafodelista"/>
        <w:jc w:val="left"/>
        <w:rPr>
          <w:rFonts w:ascii="Verdana" w:hAnsi="Verdana" w:cs="Arial"/>
        </w:rPr>
      </w:pPr>
      <w:r>
        <w:rPr>
          <w:rFonts w:cs="Arial" w:ascii="Verdana" w:hAnsi="Verdana"/>
        </w:rPr>
      </w:r>
    </w:p>
    <w:p>
      <w:pPr>
        <w:pStyle w:val="Normal"/>
        <w:numPr>
          <w:ilvl w:val="0"/>
          <w:numId w:val="5"/>
        </w:numPr>
        <w:jc w:val="left"/>
        <w:rPr>
          <w:rFonts w:ascii="Verdana" w:hAnsi="Verdana" w:cs="Arial"/>
          <w:i/>
          <w:i/>
        </w:rPr>
      </w:pPr>
      <w:r>
        <w:rPr>
          <w:rFonts w:cs="Arial" w:ascii="Verdana" w:hAnsi="Verdana"/>
          <w:i/>
        </w:rPr>
        <w:t xml:space="preserve">No se aceptarán modificaciones de estos Planes, con excepción de aquellas que consistan en: </w:t>
      </w:r>
    </w:p>
    <w:p>
      <w:pPr>
        <w:pStyle w:val="Prrafodelista"/>
        <w:jc w:val="left"/>
        <w:rPr>
          <w:rFonts w:ascii="Verdana" w:hAnsi="Verdana" w:cs="Arial"/>
          <w:i/>
          <w:i/>
        </w:rPr>
      </w:pPr>
      <w:r>
        <w:rPr>
          <w:rFonts w:cs="Arial" w:ascii="Verdana" w:hAnsi="Verdana"/>
          <w:i/>
        </w:rPr>
      </w:r>
    </w:p>
    <w:p>
      <w:pPr>
        <w:pStyle w:val="Normal"/>
        <w:ind w:left="360" w:right="0" w:hanging="0"/>
        <w:jc w:val="left"/>
        <w:rPr>
          <w:rFonts w:ascii="Verdana" w:hAnsi="Verdana" w:cs="Arial"/>
          <w:i/>
          <w:i/>
        </w:rPr>
      </w:pPr>
      <w:r>
        <w:rPr>
          <w:rFonts w:cs="Arial" w:ascii="Verdana" w:hAnsi="Verdana"/>
          <w:i/>
        </w:rPr>
        <w:t xml:space="preserve">- Anulación de obras para suplementar otra ya existente. Dicho suplemento debe ser necesario para poder finalizar la obra en el plazo mencionado en los apartados anteriores. </w:t>
      </w:r>
    </w:p>
    <w:p>
      <w:pPr>
        <w:pStyle w:val="Normal"/>
        <w:ind w:left="360" w:right="0" w:hanging="0"/>
        <w:jc w:val="left"/>
        <w:rPr>
          <w:rFonts w:ascii="Verdana" w:hAnsi="Verdana" w:cs="Arial"/>
          <w:i/>
          <w:i/>
        </w:rPr>
      </w:pPr>
      <w:r>
        <w:rPr>
          <w:rFonts w:cs="Arial" w:ascii="Verdana" w:hAnsi="Verdana"/>
          <w:i/>
        </w:rPr>
        <w:t>- Sustitución de obras paralizadas, y/o que se estime su imposible ejecución en el plazo indicado por otras que si lo cumplan. Se concede un plazo improrrogable hasta el 15 de abril de 2021 para la presentación de las propuestas que correspondan (incluyendo toda la documentación necesaria que se recoge en la base 11 de las que regulan el Plan: acuerdo del Pleno, copia de los proyectos, certificados de disponibilidad, etc.)”.</w:t>
      </w:r>
    </w:p>
    <w:p>
      <w:pPr>
        <w:pStyle w:val="Normal"/>
        <w:spacing w:before="120" w:after="120"/>
        <w:jc w:val="left"/>
        <w:rPr>
          <w:rFonts w:ascii="Verdana" w:hAnsi="Verdana" w:cs="Verdana"/>
          <w:b/>
          <w:b/>
          <w:i/>
          <w:i/>
        </w:rPr>
      </w:pPr>
      <w:r>
        <w:rPr>
          <w:rFonts w:cs="Verdana" w:ascii="Verdana" w:hAnsi="Verdana"/>
          <w:b/>
          <w:i/>
        </w:rPr>
      </w:r>
    </w:p>
    <w:p>
      <w:pPr>
        <w:pStyle w:val="Normal"/>
        <w:spacing w:before="120" w:after="120"/>
        <w:jc w:val="left"/>
        <w:rPr>
          <w:rFonts w:ascii="Verdana" w:hAnsi="Verdana" w:cs="Verdana"/>
          <w:b/>
          <w:b/>
        </w:rPr>
      </w:pPr>
      <w:r>
        <w:rPr>
          <w:rFonts w:cs="Verdana" w:ascii="Verdana" w:hAnsi="Verdana"/>
          <w:b/>
        </w:rPr>
        <w:t>PRIMERO.-</w:t>
      </w:r>
    </w:p>
    <w:p>
      <w:pPr>
        <w:pStyle w:val="Prrafodelista"/>
        <w:widowControl/>
        <w:spacing w:before="120" w:after="120"/>
        <w:ind w:left="360" w:right="0" w:hanging="361"/>
        <w:contextualSpacing/>
        <w:jc w:val="left"/>
        <w:rPr/>
      </w:pPr>
      <w:r>
        <w:rPr>
          <w:rFonts w:cs="Verdana" w:ascii="Verdana" w:hAnsi="Verdana"/>
          <w:sz w:val="20"/>
          <w:szCs w:val="20"/>
        </w:rPr>
        <w:t xml:space="preserve">Dando respuesta al requerimiento de la Consejería de Cooperación Institucional y Solidad Internacional, </w:t>
      </w:r>
      <w:r>
        <w:rPr>
          <w:rFonts w:cs="Verdana" w:ascii="Verdana" w:hAnsi="Verdana"/>
          <w:spacing w:val="1"/>
          <w:sz w:val="20"/>
          <w:szCs w:val="20"/>
        </w:rPr>
        <w:t xml:space="preserve">acogiéndose este Ayuntamiento </w:t>
      </w:r>
      <w:r>
        <w:rPr>
          <w:rFonts w:cs="Verdana" w:ascii="Verdana" w:hAnsi="Verdana"/>
          <w:spacing w:val="-1"/>
          <w:sz w:val="20"/>
          <w:szCs w:val="20"/>
        </w:rPr>
        <w:t>c</w:t>
      </w:r>
      <w:r>
        <w:rPr>
          <w:rFonts w:cs="Verdana" w:ascii="Verdana" w:hAnsi="Verdana"/>
          <w:spacing w:val="1"/>
          <w:sz w:val="20"/>
          <w:szCs w:val="20"/>
        </w:rPr>
        <w:t>o</w:t>
      </w:r>
      <w:r>
        <w:rPr>
          <w:rFonts w:cs="Verdana" w:ascii="Verdana" w:hAnsi="Verdana"/>
          <w:sz w:val="20"/>
          <w:szCs w:val="20"/>
        </w:rPr>
        <w:t>n</w:t>
      </w:r>
      <w:r>
        <w:rPr>
          <w:rFonts w:cs="Verdana" w:ascii="Verdana" w:hAnsi="Verdana"/>
          <w:spacing w:val="49"/>
          <w:sz w:val="20"/>
          <w:szCs w:val="20"/>
        </w:rPr>
        <w:t xml:space="preserve"> </w:t>
      </w:r>
      <w:r>
        <w:rPr>
          <w:rFonts w:cs="Verdana" w:ascii="Verdana" w:hAnsi="Verdana"/>
          <w:spacing w:val="-1"/>
          <w:sz w:val="20"/>
          <w:szCs w:val="20"/>
        </w:rPr>
        <w:t>l</w:t>
      </w:r>
      <w:r>
        <w:rPr>
          <w:rFonts w:cs="Verdana" w:ascii="Verdana" w:hAnsi="Verdana"/>
          <w:sz w:val="20"/>
          <w:szCs w:val="20"/>
        </w:rPr>
        <w:t>o</w:t>
      </w:r>
      <w:r>
        <w:rPr>
          <w:rFonts w:cs="Verdana" w:ascii="Verdana" w:hAnsi="Verdana"/>
          <w:spacing w:val="21"/>
          <w:sz w:val="20"/>
          <w:szCs w:val="20"/>
        </w:rPr>
        <w:t xml:space="preserve"> </w:t>
      </w:r>
      <w:r>
        <w:rPr>
          <w:rFonts w:cs="Verdana" w:ascii="Verdana" w:hAnsi="Verdana"/>
          <w:spacing w:val="1"/>
          <w:sz w:val="20"/>
          <w:szCs w:val="20"/>
        </w:rPr>
        <w:t>es</w:t>
      </w:r>
      <w:r>
        <w:rPr>
          <w:rFonts w:cs="Verdana" w:ascii="Verdana" w:hAnsi="Verdana"/>
          <w:sz w:val="20"/>
          <w:szCs w:val="20"/>
        </w:rPr>
        <w:t>tab</w:t>
      </w:r>
      <w:r>
        <w:rPr>
          <w:rFonts w:cs="Verdana" w:ascii="Verdana" w:hAnsi="Verdana"/>
          <w:spacing w:val="-1"/>
          <w:sz w:val="20"/>
          <w:szCs w:val="20"/>
        </w:rPr>
        <w:t>l</w:t>
      </w:r>
      <w:r>
        <w:rPr>
          <w:rFonts w:cs="Verdana" w:ascii="Verdana" w:hAnsi="Verdana"/>
          <w:spacing w:val="1"/>
          <w:sz w:val="20"/>
          <w:szCs w:val="20"/>
        </w:rPr>
        <w:t>e</w:t>
      </w:r>
      <w:r>
        <w:rPr>
          <w:rFonts w:cs="Verdana" w:ascii="Verdana" w:hAnsi="Verdana"/>
          <w:spacing w:val="-1"/>
          <w:sz w:val="20"/>
          <w:szCs w:val="20"/>
        </w:rPr>
        <w:t>c</w:t>
      </w:r>
      <w:r>
        <w:rPr>
          <w:rFonts w:cs="Verdana" w:ascii="Verdana" w:hAnsi="Verdana"/>
          <w:sz w:val="20"/>
          <w:szCs w:val="20"/>
        </w:rPr>
        <w:t xml:space="preserve">ido </w:t>
      </w:r>
      <w:r>
        <w:rPr>
          <w:rFonts w:cs="Verdana" w:ascii="Verdana" w:hAnsi="Verdana"/>
          <w:spacing w:val="1"/>
          <w:sz w:val="20"/>
          <w:szCs w:val="20"/>
        </w:rPr>
        <w:t>en el apartado 3</w:t>
      </w:r>
      <w:r>
        <w:rPr>
          <w:rFonts w:cs="Verdana" w:ascii="Verdana" w:hAnsi="Verdana"/>
          <w:spacing w:val="31"/>
          <w:sz w:val="20"/>
          <w:szCs w:val="20"/>
        </w:rPr>
        <w:t xml:space="preserve"> </w:t>
      </w:r>
      <w:r>
        <w:rPr>
          <w:rFonts w:cs="Arial" w:ascii="Verdana" w:hAnsi="Verdana"/>
          <w:sz w:val="20"/>
          <w:szCs w:val="20"/>
        </w:rPr>
        <w:t>para la sustitución de obras paralizadas y/o que se estime imposible su ejecución en el plazo indicado,</w:t>
      </w:r>
      <w:r>
        <w:rPr>
          <w:rFonts w:cs="Verdana" w:ascii="Verdana" w:hAnsi="Verdana"/>
          <w:sz w:val="20"/>
          <w:szCs w:val="20"/>
        </w:rPr>
        <w:t xml:space="preserve"> se </w:t>
      </w:r>
      <w:r>
        <w:rPr>
          <w:rFonts w:cs="Verdana" w:ascii="Verdana" w:hAnsi="Verdana"/>
          <w:b/>
          <w:spacing w:val="1"/>
          <w:w w:val="109"/>
          <w:sz w:val="20"/>
          <w:szCs w:val="20"/>
        </w:rPr>
        <w:t>p</w:t>
      </w:r>
      <w:r>
        <w:rPr>
          <w:rFonts w:cs="Verdana" w:ascii="Verdana" w:hAnsi="Verdana"/>
          <w:b/>
          <w:w w:val="109"/>
          <w:sz w:val="20"/>
          <w:szCs w:val="20"/>
        </w:rPr>
        <w:t>r</w:t>
      </w:r>
      <w:r>
        <w:rPr>
          <w:rFonts w:cs="Verdana" w:ascii="Verdana" w:hAnsi="Verdana"/>
          <w:b/>
          <w:spacing w:val="1"/>
          <w:w w:val="109"/>
          <w:sz w:val="20"/>
          <w:szCs w:val="20"/>
        </w:rPr>
        <w:t>opon</w:t>
      </w:r>
      <w:r>
        <w:rPr>
          <w:rFonts w:cs="Verdana" w:ascii="Verdana" w:hAnsi="Verdana"/>
          <w:b/>
          <w:w w:val="109"/>
          <w:sz w:val="20"/>
          <w:szCs w:val="20"/>
        </w:rPr>
        <w:t>e</w:t>
      </w:r>
      <w:r>
        <w:rPr>
          <w:rFonts w:cs="Verdana" w:ascii="Verdana" w:hAnsi="Verdana"/>
          <w:b/>
          <w:spacing w:val="15"/>
          <w:w w:val="109"/>
          <w:sz w:val="20"/>
          <w:szCs w:val="20"/>
        </w:rPr>
        <w:t xml:space="preserve"> </w:t>
      </w:r>
      <w:r>
        <w:rPr>
          <w:rFonts w:cs="Verdana" w:ascii="Verdana" w:hAnsi="Verdana"/>
          <w:b/>
          <w:spacing w:val="-1"/>
          <w:sz w:val="20"/>
          <w:szCs w:val="20"/>
        </w:rPr>
        <w:t>l</w:t>
      </w:r>
      <w:r>
        <w:rPr>
          <w:rFonts w:cs="Verdana" w:ascii="Verdana" w:hAnsi="Verdana"/>
          <w:b/>
          <w:sz w:val="20"/>
          <w:szCs w:val="20"/>
        </w:rPr>
        <w:t>a modificación</w:t>
      </w:r>
      <w:r>
        <w:rPr>
          <w:rFonts w:cs="Verdana" w:ascii="Verdana" w:hAnsi="Verdana"/>
          <w:sz w:val="20"/>
          <w:szCs w:val="20"/>
        </w:rPr>
        <w:t xml:space="preserve"> de la a</w:t>
      </w:r>
      <w:r>
        <w:rPr>
          <w:rFonts w:cs="Verdana" w:ascii="Verdana" w:hAnsi="Verdana"/>
          <w:spacing w:val="-1"/>
          <w:sz w:val="20"/>
          <w:szCs w:val="20"/>
        </w:rPr>
        <w:t>c</w:t>
      </w:r>
      <w:r>
        <w:rPr>
          <w:rFonts w:cs="Verdana" w:ascii="Verdana" w:hAnsi="Verdana"/>
          <w:sz w:val="20"/>
          <w:szCs w:val="20"/>
        </w:rPr>
        <w:t>tua</w:t>
      </w:r>
      <w:r>
        <w:rPr>
          <w:rFonts w:cs="Verdana" w:ascii="Verdana" w:hAnsi="Verdana"/>
          <w:spacing w:val="-1"/>
          <w:sz w:val="20"/>
          <w:szCs w:val="20"/>
        </w:rPr>
        <w:t>c</w:t>
      </w:r>
      <w:r>
        <w:rPr>
          <w:rFonts w:cs="Verdana" w:ascii="Verdana" w:hAnsi="Verdana"/>
          <w:sz w:val="20"/>
          <w:szCs w:val="20"/>
        </w:rPr>
        <w:t>i</w:t>
      </w:r>
      <w:r>
        <w:rPr>
          <w:rFonts w:cs="Verdana" w:ascii="Verdana" w:hAnsi="Verdana"/>
          <w:spacing w:val="1"/>
          <w:sz w:val="20"/>
          <w:szCs w:val="20"/>
        </w:rPr>
        <w:t>ón</w:t>
      </w:r>
      <w:r>
        <w:rPr>
          <w:rFonts w:cs="Verdana" w:ascii="Verdana" w:hAnsi="Verdana"/>
          <w:sz w:val="20"/>
          <w:szCs w:val="20"/>
        </w:rPr>
        <w:t xml:space="preserve"> prevista para el </w:t>
      </w:r>
      <w:r>
        <w:rPr>
          <w:rFonts w:cs="Verdana" w:ascii="Verdana" w:hAnsi="Verdana"/>
          <w:b/>
          <w:sz w:val="20"/>
          <w:szCs w:val="20"/>
        </w:rPr>
        <w:t>Plan de Cooperación con los Ayuntamientos, anualidades 2016-2019</w:t>
      </w:r>
      <w:r>
        <w:rPr>
          <w:rFonts w:cs="Verdana" w:ascii="Verdana" w:hAnsi="Verdana"/>
          <w:sz w:val="20"/>
          <w:szCs w:val="20"/>
        </w:rPr>
        <w:t xml:space="preserve"> debido a la imposibilidad de ejecución prevista en los plazos determinados en las bases.</w:t>
      </w:r>
    </w:p>
    <w:p>
      <w:pPr>
        <w:pStyle w:val="Prrafodelista"/>
        <w:widowControl/>
        <w:spacing w:before="120" w:after="120"/>
        <w:ind w:left="360" w:right="0" w:hanging="361"/>
        <w:contextualSpacing/>
        <w:jc w:val="left"/>
        <w:rPr>
          <w:rFonts w:ascii="Verdana" w:hAnsi="Verdana" w:cs="Verdana"/>
          <w:sz w:val="20"/>
          <w:szCs w:val="20"/>
        </w:rPr>
      </w:pPr>
      <w:r>
        <w:rPr>
          <w:rFonts w:cs="Verdana" w:ascii="Verdana" w:hAnsi="Verdana"/>
          <w:sz w:val="20"/>
          <w:szCs w:val="20"/>
        </w:rPr>
      </w:r>
    </w:p>
    <w:tbl>
      <w:tblPr>
        <w:tblW w:w="5000" w:type="pct"/>
        <w:jc w:val="left"/>
        <w:tblInd w:w="-5" w:type="dxa"/>
        <w:tblCellMar>
          <w:top w:w="0" w:type="dxa"/>
          <w:left w:w="70" w:type="dxa"/>
          <w:bottom w:w="0" w:type="dxa"/>
          <w:right w:w="70" w:type="dxa"/>
        </w:tblCellMar>
      </w:tblPr>
      <w:tblGrid>
        <w:gridCol w:w="2884"/>
        <w:gridCol w:w="1045"/>
        <w:gridCol w:w="913"/>
        <w:gridCol w:w="913"/>
        <w:gridCol w:w="913"/>
        <w:gridCol w:w="913"/>
        <w:gridCol w:w="923"/>
      </w:tblGrid>
      <w:tr>
        <w:trPr>
          <w:trHeight w:val="540" w:hRule="atLeast"/>
        </w:trPr>
        <w:tc>
          <w:tcPr>
            <w:tcW w:w="2884"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DENOMINACIÓN</w:t>
            </w:r>
          </w:p>
        </w:tc>
        <w:tc>
          <w:tcPr>
            <w:tcW w:w="1045"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IMPORTE PROYECTO</w:t>
            </w:r>
          </w:p>
        </w:tc>
        <w:tc>
          <w:tcPr>
            <w:tcW w:w="913"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2017</w:t>
              <w:br/>
              <w:t>CABILDO</w:t>
            </w:r>
          </w:p>
        </w:tc>
        <w:tc>
          <w:tcPr>
            <w:tcW w:w="2739" w:type="dxa"/>
            <w:gridSpan w:val="3"/>
            <w:tcBorders>
              <w:top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2018</w:t>
            </w:r>
          </w:p>
        </w:tc>
        <w:tc>
          <w:tcPr>
            <w:tcW w:w="923"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2019</w:t>
              <w:br/>
              <w:t>CABILDO</w:t>
            </w:r>
          </w:p>
        </w:tc>
      </w:tr>
      <w:tr>
        <w:trPr>
          <w:trHeight w:val="330" w:hRule="atLeast"/>
        </w:trPr>
        <w:tc>
          <w:tcPr>
            <w:tcW w:w="2884"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1045"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913"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TOTAL</w:t>
            </w:r>
          </w:p>
        </w:tc>
        <w:tc>
          <w:tcPr>
            <w:tcW w:w="913" w:type="dxa"/>
            <w:tcBorders>
              <w:bottom w:val="single" w:sz="4" w:space="0" w:color="000000"/>
              <w:right w:val="single" w:sz="4" w:space="0" w:color="000000"/>
            </w:tcBorders>
            <w:vAlign w:val="center"/>
          </w:tcPr>
          <w:p>
            <w:pPr>
              <w:pStyle w:val="Normal"/>
              <w:jc w:val="left"/>
              <w:rPr>
                <w:b/>
                <w:b/>
                <w:bCs/>
                <w:i/>
                <w:i/>
                <w:iCs/>
                <w:sz w:val="18"/>
                <w:szCs w:val="18"/>
              </w:rPr>
            </w:pPr>
            <w:r>
              <w:rPr>
                <w:b/>
                <w:bCs/>
                <w:i/>
                <w:iCs/>
                <w:sz w:val="18"/>
                <w:szCs w:val="18"/>
              </w:rPr>
              <w:t>CABILDO</w:t>
            </w:r>
          </w:p>
        </w:tc>
        <w:tc>
          <w:tcPr>
            <w:tcW w:w="913" w:type="dxa"/>
            <w:tcBorders>
              <w:bottom w:val="single" w:sz="4" w:space="0" w:color="000000"/>
              <w:right w:val="single" w:sz="4" w:space="0" w:color="000000"/>
            </w:tcBorders>
            <w:vAlign w:val="center"/>
          </w:tcPr>
          <w:p>
            <w:pPr>
              <w:pStyle w:val="Normal"/>
              <w:jc w:val="left"/>
              <w:rPr>
                <w:b/>
                <w:b/>
                <w:bCs/>
                <w:i/>
                <w:i/>
                <w:iCs/>
                <w:sz w:val="18"/>
                <w:szCs w:val="18"/>
              </w:rPr>
            </w:pPr>
            <w:r>
              <w:rPr>
                <w:b/>
                <w:bCs/>
                <w:i/>
                <w:iCs/>
                <w:sz w:val="18"/>
                <w:szCs w:val="18"/>
              </w:rPr>
              <w:t>AYTO</w:t>
            </w:r>
          </w:p>
        </w:tc>
        <w:tc>
          <w:tcPr>
            <w:tcW w:w="923"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 y ampliación alumbrado varias zonas municipio de Agüimes (plan 2020)</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229.573,14</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183.033,51</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46.539,63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16.539,63</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Mejoras en la red de riego Urbanización Muelle Viejo (fase I)</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99.993,70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75.000,00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24.993,70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15.000,00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9.993,70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Ampliación red distribución de agua zona "Los Pilares"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69.003,23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50.000,00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19.003,23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9.003,23</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Adecuación escalones Avenida de Los Pescadores (Arinaga, T.M.Aguimes)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180.845,07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150.000,00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30.845,07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10.845,07</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Mejoras en el saneamiento Avenida de Ansite</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120.283,76</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40.283,76</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28.000,00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12.283,76</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80.000,00</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Pavimentación asfáltica y retenedores de velocidad en el municipio de Agüimes 2020</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296.553,85</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96.553,85</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60.000,00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36.553,85</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200.000,00</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RAM 2020 lotes 1 y 2</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135.500,00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60.500,00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46.950,00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13.550,00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75.000,00</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Intervención en centros escolares lotes 1 y 2</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99.999,00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29.999,00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9.999,00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70.000,00</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Proyecto de ejecución de mejoras en el Centro de Hidroterapia de Agüimes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485.456,97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332.141,43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310.399,79</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21.741,64</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153.315,54</w:t>
            </w:r>
          </w:p>
        </w:tc>
      </w:tr>
      <w:tr>
        <w:trPr>
          <w:trHeight w:val="330" w:hRule="atLeast"/>
        </w:trPr>
        <w:tc>
          <w:tcPr>
            <w:tcW w:w="2884" w:type="dxa"/>
            <w:tcBorders>
              <w:left w:val="single" w:sz="4" w:space="0" w:color="000000"/>
              <w:bottom w:val="single" w:sz="4" w:space="0" w:color="000000"/>
            </w:tcBorders>
            <w:shd w:fill="969696" w:val="clear"/>
            <w:vAlign w:val="center"/>
          </w:tcPr>
          <w:p>
            <w:pPr>
              <w:pStyle w:val="Normal"/>
              <w:jc w:val="left"/>
              <w:rPr>
                <w:b/>
                <w:b/>
                <w:bCs/>
                <w:sz w:val="18"/>
                <w:szCs w:val="18"/>
              </w:rPr>
            </w:pPr>
            <w:r>
              <w:rPr>
                <w:b/>
                <w:bCs/>
                <w:sz w:val="18"/>
                <w:szCs w:val="18"/>
              </w:rPr>
              <w:t>TOTAL</w:t>
            </w:r>
          </w:p>
        </w:tc>
        <w:tc>
          <w:tcPr>
            <w:tcW w:w="1045" w:type="dxa"/>
            <w:tcBorders>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1.717.208,72</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458.033,51</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680.859,67</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540.349,79</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140.509,88</w:t>
            </w:r>
          </w:p>
        </w:tc>
        <w:tc>
          <w:tcPr>
            <w:tcW w:w="92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578.315,54</w:t>
            </w:r>
          </w:p>
        </w:tc>
      </w:tr>
    </w:tbl>
    <w:p>
      <w:pPr>
        <w:pStyle w:val="Prrafodelista"/>
        <w:widowControl/>
        <w:spacing w:before="120" w:after="120"/>
        <w:ind w:left="360" w:right="0" w:hanging="361"/>
        <w:contextualSpacing/>
        <w:jc w:val="left"/>
        <w:rPr>
          <w:rFonts w:ascii="Verdana" w:hAnsi="Verdana" w:cs="Verdana"/>
          <w:sz w:val="20"/>
          <w:szCs w:val="20"/>
        </w:rPr>
      </w:pPr>
      <w:r>
        <w:rPr>
          <w:rFonts w:cs="Verdana" w:ascii="Verdana" w:hAnsi="Verdana"/>
          <w:sz w:val="20"/>
          <w:szCs w:val="20"/>
        </w:rPr>
      </w:r>
    </w:p>
    <w:p>
      <w:pPr>
        <w:pStyle w:val="Normal"/>
        <w:spacing w:before="120" w:after="120"/>
        <w:ind w:left="360" w:right="0" w:hanging="0"/>
        <w:jc w:val="left"/>
        <w:rPr>
          <w:rFonts w:ascii="Verdana" w:hAnsi="Verdana" w:eastAsia="Cambria" w:cs="Verdana"/>
          <w:lang w:val="es-ES_tradnl"/>
        </w:rPr>
      </w:pPr>
      <w:r>
        <w:rPr>
          <w:rFonts w:eastAsia="Cambria" w:cs="Verdana" w:ascii="Verdana" w:hAnsi="Verdana"/>
          <w:lang w:val="es-ES_tradnl"/>
        </w:rPr>
        <w:t>Para la selección de estas actuaciones se han tenido en cuenta los déficits en infraestructuras y equipamientos locales existentes en el municipio así como el cumplimiento en los plazos establecidos por la Consejería de Cooperación institucional y solidaridad internacional del Cabildo de Gran Canaria.</w:t>
      </w:r>
    </w:p>
    <w:p>
      <w:pPr>
        <w:pStyle w:val="Normal"/>
        <w:spacing w:before="120" w:after="120"/>
        <w:ind w:left="360" w:right="0" w:hanging="0"/>
        <w:jc w:val="left"/>
        <w:rPr>
          <w:rFonts w:ascii="Verdana" w:hAnsi="Verdana" w:cs="Verdana"/>
          <w:spacing w:val="-1"/>
          <w:w w:val="106"/>
        </w:rPr>
      </w:pPr>
      <w:r>
        <w:rPr>
          <w:rFonts w:cs="Verdana" w:ascii="Verdana" w:hAnsi="Verdana"/>
          <w:spacing w:val="-1"/>
          <w:w w:val="106"/>
        </w:rPr>
      </w:r>
    </w:p>
    <w:p>
      <w:pPr>
        <w:pStyle w:val="Normal"/>
        <w:jc w:val="left"/>
        <w:rPr/>
      </w:pPr>
      <w:r>
        <w:rPr>
          <w:rFonts w:cs="Verdana" w:ascii="Verdana" w:hAnsi="Verdana"/>
          <w:b/>
          <w:spacing w:val="-1"/>
          <w:w w:val="106"/>
        </w:rPr>
        <w:t>SEGUNDO.-</w:t>
      </w:r>
      <w:r>
        <w:rPr>
          <w:rFonts w:cs="Verdana" w:ascii="Verdana" w:hAnsi="Verdana"/>
          <w:spacing w:val="-1"/>
          <w:w w:val="106"/>
        </w:rPr>
        <w:t xml:space="preserve"> </w:t>
      </w:r>
      <w:r>
        <w:rPr>
          <w:rFonts w:eastAsia="Cambria" w:cs="Verdana" w:ascii="Verdana" w:hAnsi="Verdana"/>
          <w:lang w:val="es-ES_tradnl"/>
        </w:rPr>
        <w:t>Se ha remitido al Excmo. Cabildo de Gran Canaria los proyectos de obra ya elaborados que se indican a continuación, con los presupuestos que, asimismo se expresan:</w:t>
      </w:r>
    </w:p>
    <w:p>
      <w:pPr>
        <w:pStyle w:val="Normal"/>
        <w:jc w:val="left"/>
        <w:rPr>
          <w:rFonts w:ascii="Verdana" w:hAnsi="Verdana" w:eastAsia="Cambria" w:cs="Verdana"/>
          <w:lang w:val="es-ES_tradnl"/>
        </w:rPr>
      </w:pPr>
      <w:r>
        <w:rPr>
          <w:rFonts w:eastAsia="Cambria" w:cs="Verdana" w:ascii="Verdana" w:hAnsi="Verdana"/>
          <w:lang w:val="es-ES_tradnl"/>
        </w:rPr>
      </w:r>
    </w:p>
    <w:tbl>
      <w:tblPr>
        <w:tblW w:w="5000" w:type="pct"/>
        <w:jc w:val="left"/>
        <w:tblInd w:w="-5" w:type="dxa"/>
        <w:tblCellMar>
          <w:top w:w="0" w:type="dxa"/>
          <w:left w:w="70" w:type="dxa"/>
          <w:bottom w:w="0" w:type="dxa"/>
          <w:right w:w="70" w:type="dxa"/>
        </w:tblCellMar>
      </w:tblPr>
      <w:tblGrid>
        <w:gridCol w:w="2884"/>
        <w:gridCol w:w="1045"/>
        <w:gridCol w:w="913"/>
        <w:gridCol w:w="913"/>
        <w:gridCol w:w="913"/>
        <w:gridCol w:w="913"/>
        <w:gridCol w:w="923"/>
      </w:tblGrid>
      <w:tr>
        <w:trPr>
          <w:trHeight w:val="540" w:hRule="atLeast"/>
        </w:trPr>
        <w:tc>
          <w:tcPr>
            <w:tcW w:w="2884"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DENOMINACIÓN</w:t>
            </w:r>
          </w:p>
        </w:tc>
        <w:tc>
          <w:tcPr>
            <w:tcW w:w="1045"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IMPORTE PROYECTO</w:t>
            </w:r>
          </w:p>
        </w:tc>
        <w:tc>
          <w:tcPr>
            <w:tcW w:w="913"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2017</w:t>
              <w:br/>
              <w:t>CABILDO</w:t>
            </w:r>
          </w:p>
        </w:tc>
        <w:tc>
          <w:tcPr>
            <w:tcW w:w="2739" w:type="dxa"/>
            <w:gridSpan w:val="3"/>
            <w:tcBorders>
              <w:top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2018</w:t>
            </w:r>
          </w:p>
        </w:tc>
        <w:tc>
          <w:tcPr>
            <w:tcW w:w="923" w:type="dxa"/>
            <w:vMerge w:val="restart"/>
            <w:tcBorders>
              <w:top w:val="single" w:sz="4" w:space="0" w:color="000000"/>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2019</w:t>
              <w:br/>
              <w:t>CABILDO</w:t>
            </w:r>
          </w:p>
        </w:tc>
      </w:tr>
      <w:tr>
        <w:trPr>
          <w:trHeight w:val="330" w:hRule="atLeast"/>
        </w:trPr>
        <w:tc>
          <w:tcPr>
            <w:tcW w:w="2884"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1045"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913"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TOTAL</w:t>
            </w:r>
          </w:p>
        </w:tc>
        <w:tc>
          <w:tcPr>
            <w:tcW w:w="913" w:type="dxa"/>
            <w:tcBorders>
              <w:bottom w:val="single" w:sz="4" w:space="0" w:color="000000"/>
              <w:right w:val="single" w:sz="4" w:space="0" w:color="000000"/>
            </w:tcBorders>
            <w:vAlign w:val="center"/>
          </w:tcPr>
          <w:p>
            <w:pPr>
              <w:pStyle w:val="Normal"/>
              <w:jc w:val="left"/>
              <w:rPr>
                <w:b/>
                <w:b/>
                <w:bCs/>
                <w:i/>
                <w:i/>
                <w:iCs/>
                <w:sz w:val="18"/>
                <w:szCs w:val="18"/>
              </w:rPr>
            </w:pPr>
            <w:r>
              <w:rPr>
                <w:b/>
                <w:bCs/>
                <w:i/>
                <w:iCs/>
                <w:sz w:val="18"/>
                <w:szCs w:val="18"/>
              </w:rPr>
              <w:t>CABILDO</w:t>
            </w:r>
          </w:p>
        </w:tc>
        <w:tc>
          <w:tcPr>
            <w:tcW w:w="913" w:type="dxa"/>
            <w:tcBorders>
              <w:bottom w:val="single" w:sz="4" w:space="0" w:color="000000"/>
              <w:right w:val="single" w:sz="4" w:space="0" w:color="000000"/>
            </w:tcBorders>
            <w:vAlign w:val="center"/>
          </w:tcPr>
          <w:p>
            <w:pPr>
              <w:pStyle w:val="Normal"/>
              <w:jc w:val="left"/>
              <w:rPr>
                <w:b/>
                <w:b/>
                <w:bCs/>
                <w:i/>
                <w:i/>
                <w:iCs/>
                <w:sz w:val="18"/>
                <w:szCs w:val="18"/>
              </w:rPr>
            </w:pPr>
            <w:r>
              <w:rPr>
                <w:b/>
                <w:bCs/>
                <w:i/>
                <w:iCs/>
                <w:sz w:val="18"/>
                <w:szCs w:val="18"/>
              </w:rPr>
              <w:t>AYTO</w:t>
            </w:r>
          </w:p>
        </w:tc>
        <w:tc>
          <w:tcPr>
            <w:tcW w:w="923" w:type="dxa"/>
            <w:vMerge w:val="continue"/>
            <w:tcBorders>
              <w:top w:val="single" w:sz="4" w:space="0" w:color="000000"/>
              <w:left w:val="single" w:sz="4" w:space="0" w:color="000000"/>
              <w:bottom w:val="single" w:sz="4" w:space="0" w:color="000000"/>
              <w:right w:val="single" w:sz="4" w:space="0" w:color="000000"/>
            </w:tcBorders>
            <w:shd w:fill="969696" w:val="clear"/>
            <w:vAlign w:val="center"/>
          </w:tcPr>
          <w:p>
            <w:pPr>
              <w:pStyle w:val="Normal"/>
              <w:rPr/>
            </w:pPr>
            <w:r>
              <w:rPr/>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 y ampliación alumbrado varias zonas municipio de Agüimes (plan 2020)</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229.573,14</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183.033,51</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46.539,63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16.539,63</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Mejoras en la red de riego Urbanización Muelle Viejo (fase I)</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99.993,70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75.000,00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24.993,70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15.000,00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9.993,70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Ampliación red distribución de agua zona "Los Pilares"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69.003,23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50.000,00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19.003,23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9.003,23</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Adecuación escalones Avenida de Los Pescadores (Arinaga, T.M.Aguimes)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180.845,07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150.000,00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30.845,07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10.845,07</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Mejoras en el saneamiento Avenida de Ansite</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120.283,76</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40.283,76</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28.000,00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12.283,76</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80.000,00</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Pavimentación asfáltica y retenedores de velocidad en el municipio de Agüimes 2020</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296.553,85</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96.553,85</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60.000,00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36.553,85</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200.000,00</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RAM 2020 lotes 1 y 2</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135.500,00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60.500,00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46.950,00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13.550,00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75.000,00</w:t>
            </w:r>
          </w:p>
        </w:tc>
      </w:tr>
      <w:tr>
        <w:trPr>
          <w:trHeight w:val="345"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Intervención en centros escolares lotes 1 y 2</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99.999,00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29.999,00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20.000,00</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9.999,00</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70.000,00</w:t>
            </w:r>
          </w:p>
        </w:tc>
      </w:tr>
      <w:tr>
        <w:trPr>
          <w:trHeight w:val="630" w:hRule="atLeast"/>
        </w:trPr>
        <w:tc>
          <w:tcPr>
            <w:tcW w:w="2884" w:type="dxa"/>
            <w:tcBorders>
              <w:left w:val="single" w:sz="4" w:space="0" w:color="000000"/>
              <w:bottom w:val="single" w:sz="4" w:space="0" w:color="000000"/>
              <w:right w:val="single" w:sz="4" w:space="0" w:color="000000"/>
            </w:tcBorders>
            <w:vAlign w:val="center"/>
          </w:tcPr>
          <w:p>
            <w:pPr>
              <w:pStyle w:val="Normal"/>
              <w:jc w:val="left"/>
              <w:rPr>
                <w:color w:val="000000"/>
                <w:sz w:val="18"/>
                <w:szCs w:val="18"/>
              </w:rPr>
            </w:pPr>
            <w:r>
              <w:rPr>
                <w:color w:val="000000"/>
                <w:sz w:val="18"/>
                <w:szCs w:val="18"/>
              </w:rPr>
              <w:t>Proyecto de ejecución de mejoras en el Centro de Hidroterapia de Agüimes</w:t>
            </w:r>
          </w:p>
        </w:tc>
        <w:tc>
          <w:tcPr>
            <w:tcW w:w="1045" w:type="dxa"/>
            <w:tcBorders>
              <w:bottom w:val="single" w:sz="4" w:space="0" w:color="000000"/>
              <w:right w:val="single" w:sz="4" w:space="0" w:color="000000"/>
            </w:tcBorders>
            <w:vAlign w:val="center"/>
          </w:tcPr>
          <w:p>
            <w:pPr>
              <w:pStyle w:val="Normal"/>
              <w:jc w:val="left"/>
              <w:rPr>
                <w:b/>
                <w:b/>
                <w:bCs/>
                <w:sz w:val="18"/>
                <w:szCs w:val="18"/>
              </w:rPr>
            </w:pPr>
            <w:r>
              <w:rPr>
                <w:b/>
                <w:bCs/>
                <w:sz w:val="18"/>
                <w:szCs w:val="18"/>
              </w:rPr>
              <w:t>485.456,97</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332.141,43</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310.399,79</w:t>
            </w:r>
          </w:p>
        </w:tc>
        <w:tc>
          <w:tcPr>
            <w:tcW w:w="913" w:type="dxa"/>
            <w:tcBorders>
              <w:bottom w:val="single" w:sz="4" w:space="0" w:color="000000"/>
              <w:right w:val="single" w:sz="4" w:space="0" w:color="000000"/>
            </w:tcBorders>
            <w:vAlign w:val="center"/>
          </w:tcPr>
          <w:p>
            <w:pPr>
              <w:pStyle w:val="Normal"/>
              <w:jc w:val="left"/>
              <w:rPr>
                <w:sz w:val="18"/>
                <w:szCs w:val="18"/>
              </w:rPr>
            </w:pPr>
            <w:r>
              <w:rPr>
                <w:sz w:val="18"/>
                <w:szCs w:val="18"/>
              </w:rPr>
              <w:t>21.741,64</w:t>
            </w:r>
          </w:p>
        </w:tc>
        <w:tc>
          <w:tcPr>
            <w:tcW w:w="923" w:type="dxa"/>
            <w:tcBorders>
              <w:bottom w:val="single" w:sz="4" w:space="0" w:color="000000"/>
              <w:right w:val="single" w:sz="4" w:space="0" w:color="000000"/>
            </w:tcBorders>
            <w:vAlign w:val="center"/>
          </w:tcPr>
          <w:p>
            <w:pPr>
              <w:pStyle w:val="Normal"/>
              <w:jc w:val="left"/>
              <w:rPr>
                <w:sz w:val="18"/>
                <w:szCs w:val="18"/>
              </w:rPr>
            </w:pPr>
            <w:r>
              <w:rPr>
                <w:sz w:val="18"/>
                <w:szCs w:val="18"/>
              </w:rPr>
              <w:t>153.315,54</w:t>
            </w:r>
          </w:p>
        </w:tc>
      </w:tr>
      <w:tr>
        <w:trPr>
          <w:trHeight w:val="330" w:hRule="atLeast"/>
        </w:trPr>
        <w:tc>
          <w:tcPr>
            <w:tcW w:w="2884" w:type="dxa"/>
            <w:tcBorders>
              <w:left w:val="single" w:sz="4" w:space="0" w:color="000000"/>
              <w:bottom w:val="single" w:sz="4" w:space="0" w:color="000000"/>
            </w:tcBorders>
            <w:shd w:fill="969696" w:val="clear"/>
            <w:vAlign w:val="center"/>
          </w:tcPr>
          <w:p>
            <w:pPr>
              <w:pStyle w:val="Normal"/>
              <w:jc w:val="left"/>
              <w:rPr>
                <w:b/>
                <w:b/>
                <w:bCs/>
                <w:sz w:val="18"/>
                <w:szCs w:val="18"/>
              </w:rPr>
            </w:pPr>
            <w:r>
              <w:rPr>
                <w:b/>
                <w:bCs/>
                <w:sz w:val="18"/>
                <w:szCs w:val="18"/>
              </w:rPr>
              <w:t>TOTAL</w:t>
            </w:r>
          </w:p>
        </w:tc>
        <w:tc>
          <w:tcPr>
            <w:tcW w:w="1045" w:type="dxa"/>
            <w:tcBorders>
              <w:left w:val="single" w:sz="4" w:space="0" w:color="000000"/>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1.717.208,72</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458.033,51</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680.859,67</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540.349,79</w:t>
            </w:r>
          </w:p>
        </w:tc>
        <w:tc>
          <w:tcPr>
            <w:tcW w:w="91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140.509,88</w:t>
            </w:r>
          </w:p>
        </w:tc>
        <w:tc>
          <w:tcPr>
            <w:tcW w:w="923" w:type="dxa"/>
            <w:tcBorders>
              <w:bottom w:val="single" w:sz="4" w:space="0" w:color="000000"/>
              <w:right w:val="single" w:sz="4" w:space="0" w:color="000000"/>
            </w:tcBorders>
            <w:shd w:fill="969696" w:val="clear"/>
            <w:vAlign w:val="center"/>
          </w:tcPr>
          <w:p>
            <w:pPr>
              <w:pStyle w:val="Normal"/>
              <w:jc w:val="left"/>
              <w:rPr>
                <w:b/>
                <w:b/>
                <w:bCs/>
                <w:sz w:val="18"/>
                <w:szCs w:val="18"/>
              </w:rPr>
            </w:pPr>
            <w:r>
              <w:rPr>
                <w:b/>
                <w:bCs/>
                <w:sz w:val="18"/>
                <w:szCs w:val="18"/>
              </w:rPr>
              <w:t>578.315,54</w:t>
            </w:r>
          </w:p>
        </w:tc>
      </w:tr>
    </w:tbl>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pPr>
      <w:r>
        <w:rPr>
          <w:rFonts w:cs="Verdana" w:ascii="Verdana" w:hAnsi="Verdana"/>
          <w:b/>
          <w:spacing w:val="-1"/>
          <w:w w:val="106"/>
        </w:rPr>
        <w:t xml:space="preserve">TERCERO.- </w:t>
      </w:r>
      <w:r>
        <w:rPr>
          <w:rFonts w:eastAsia="Cambria" w:cs="Verdana" w:ascii="Verdana" w:hAnsi="Verdana"/>
          <w:lang w:val="es-ES_tradnl"/>
        </w:rPr>
        <w:t>Se ha aportado a la Corporación Insular certificación acreditativa de que todas y cada una de las obras a ejecutar se adecuan al planeamiento municipal vigente y cuentan con la disponibilidad de los terrenos así como con las autorizaciones, permisos y concesiones administrativas necesarias para el inicio de las obras dentro del ejercicio correspondiente.</w:t>
      </w:r>
      <w:r>
        <w:rPr>
          <w:rFonts w:cs="Arial" w:ascii="Verdana" w:hAnsi="Verdana"/>
        </w:rPr>
        <w:t xml:space="preserve"> </w:t>
      </w:r>
    </w:p>
    <w:p>
      <w:pPr>
        <w:pStyle w:val="Normal"/>
        <w:jc w:val="left"/>
        <w:rPr>
          <w:rFonts w:ascii="Verdana" w:hAnsi="Verdana" w:cs="Arial"/>
        </w:rPr>
      </w:pPr>
      <w:r>
        <w:rPr>
          <w:rFonts w:cs="Arial" w:ascii="Verdana" w:hAnsi="Verdana"/>
        </w:rPr>
      </w:r>
    </w:p>
    <w:p>
      <w:pPr>
        <w:pStyle w:val="Normal"/>
        <w:jc w:val="left"/>
        <w:rPr/>
      </w:pPr>
      <w:r>
        <w:rPr>
          <w:rFonts w:cs="Arial" w:ascii="Verdana" w:hAnsi="Verdana"/>
          <w:b/>
        </w:rPr>
        <w:t>CUARTO.-</w:t>
      </w:r>
      <w:r>
        <w:rPr>
          <w:rFonts w:cs="Arial" w:ascii="Verdana" w:hAnsi="Verdana"/>
        </w:rPr>
        <w:t xml:space="preserve"> </w:t>
      </w:r>
      <w:r>
        <w:rPr>
          <w:rFonts w:eastAsia="Cambria" w:cs="Verdana" w:ascii="Verdana" w:hAnsi="Verdana"/>
          <w:lang w:val="es-ES_tradnl"/>
        </w:rPr>
        <w:t>Este Ayuntamiento aportará con cargo a su presupuesto 2021 la cantidad de 140.509,88€ euros, a fin de completar el coste total de las actuaciones incluidas en el presente Plan, a cuyo fin se remitirán certificaciones acreditativas de la consignación presupuestaria.</w:t>
      </w:r>
    </w:p>
    <w:p>
      <w:pPr>
        <w:pStyle w:val="Normal"/>
        <w:jc w:val="left"/>
        <w:rPr>
          <w:rFonts w:ascii="Verdana" w:hAnsi="Verdana" w:cs="Arial"/>
        </w:rPr>
      </w:pPr>
      <w:r>
        <w:rPr>
          <w:rFonts w:cs="Arial" w:ascii="Verdana" w:hAnsi="Verdana"/>
        </w:rPr>
      </w:r>
    </w:p>
    <w:p>
      <w:pPr>
        <w:pStyle w:val="Normal"/>
        <w:spacing w:before="120" w:after="120"/>
        <w:jc w:val="left"/>
        <w:rPr/>
      </w:pPr>
      <w:r>
        <w:rPr>
          <w:rFonts w:cs="Verdana" w:ascii="Verdana" w:hAnsi="Verdana"/>
          <w:b/>
          <w:spacing w:val="-1"/>
          <w:w w:val="106"/>
        </w:rPr>
        <w:t>QUINTO.-</w:t>
      </w:r>
      <w:r>
        <w:rPr>
          <w:rFonts w:cs="Verdana" w:ascii="Verdana" w:hAnsi="Verdana"/>
          <w:spacing w:val="-1"/>
          <w:w w:val="106"/>
        </w:rPr>
        <w:t xml:space="preserve"> </w:t>
      </w:r>
      <w:r>
        <w:rPr>
          <w:rFonts w:eastAsia="Cambria" w:cs="Verdana" w:ascii="Verdana" w:hAnsi="Verdana"/>
          <w:lang w:val="es-ES_tradnl"/>
        </w:rPr>
        <w:t>Solicitar para este ayuntamiento la gestión de la competencia para la contratación, ejecución y seguimiento de las obras incluidas en el Plan de Cooperación con los Ayuntamientos por estimar que esta corporación dispone de medios técnicos suficientes, aceptándola para aquellas actuaciones que el Cabildo Insular autorice en la condiciones y términos previstos en sus Bases reguladoras.</w:t>
      </w:r>
    </w:p>
    <w:p>
      <w:pPr>
        <w:pStyle w:val="Normal"/>
        <w:spacing w:before="120" w:after="120"/>
        <w:jc w:val="left"/>
        <w:rPr/>
      </w:pPr>
      <w:r>
        <w:rPr>
          <w:rFonts w:cs="Verdana" w:ascii="Verdana" w:hAnsi="Verdana"/>
          <w:b/>
          <w:spacing w:val="-1"/>
          <w:w w:val="106"/>
        </w:rPr>
        <w:t>SEXTO.-</w:t>
      </w:r>
      <w:r>
        <w:rPr>
          <w:rFonts w:cs="Verdana" w:ascii="Verdana" w:hAnsi="Verdana"/>
          <w:spacing w:val="-1"/>
          <w:w w:val="106"/>
        </w:rPr>
        <w:t xml:space="preserve"> </w:t>
      </w:r>
      <w:r>
        <w:rPr>
          <w:rFonts w:eastAsia="Cambria" w:cs="Verdana" w:ascii="Verdana" w:hAnsi="Verdana"/>
          <w:lang w:val="es-ES_tradnl"/>
        </w:rPr>
        <w:t>El incumplimiento por parte de este Ayuntamiento en atender, en el momento adecuado, los pagos que se deriven de los compromisos aquí contraídos para la realización del Plan de Cooperación con los Ayuntamientos, faculta al Cabildo de Gran Canaria para que, sin requerimiento ni trámite alguno, pueda retener las cantidades necesarias de los recursos que le corresponden a esta Corporación provenientes del Bloque de Financiación Canario, o de cualesquiera otros impuestos que sustituyan a aquellos. Esta facultad se hará extensiva a aquellos supuestos en que, por causas imputables a la Corporación Municipal, no se pueda contar con la totalidad de la financiación prevista para las actuaciones incluidas en el Plan, en el importe en que tal financiación sea exigible.</w:t>
      </w:r>
    </w:p>
    <w:p>
      <w:pPr>
        <w:pStyle w:val="Normal"/>
        <w:spacing w:before="120" w:after="120"/>
        <w:jc w:val="left"/>
        <w:rPr/>
      </w:pPr>
      <w:r>
        <w:rPr>
          <w:rFonts w:cs="Verdana" w:ascii="Verdana" w:hAnsi="Verdana"/>
          <w:b/>
          <w:spacing w:val="-1"/>
          <w:w w:val="106"/>
        </w:rPr>
        <w:t xml:space="preserve">SÉPTIMO.- </w:t>
      </w:r>
      <w:r>
        <w:rPr>
          <w:rFonts w:eastAsia="Cambria" w:cs="Verdana" w:ascii="Verdana" w:hAnsi="Verdana"/>
          <w:lang w:val="es-ES_tradnl"/>
        </w:rPr>
        <w:t>Facultar al Sr. Alcalde de la Corporación Municipal para que, una vez sancionado definitivamente el Plan y resuelta su financiación, realizar los trámites que se precisen hasta la culminación del presente expediente.</w:t>
      </w:r>
    </w:p>
    <w:p>
      <w:pPr>
        <w:pStyle w:val="Normal"/>
        <w:jc w:val="left"/>
        <w:rPr/>
      </w:pPr>
      <w:r>
        <w:rPr>
          <w:rFonts w:cs="Verdana" w:ascii="Verdana" w:hAnsi="Verdana"/>
          <w:b/>
          <w:spacing w:val="-1"/>
          <w:w w:val="106"/>
        </w:rPr>
        <w:t>OCTAVO.-</w:t>
      </w:r>
      <w:r>
        <w:rPr>
          <w:rFonts w:cs="Verdana" w:ascii="Verdana" w:hAnsi="Verdana"/>
          <w:spacing w:val="-1"/>
          <w:w w:val="106"/>
        </w:rPr>
        <w:t xml:space="preserve"> </w:t>
      </w:r>
      <w:r>
        <w:rPr>
          <w:rFonts w:eastAsia="Cambria" w:cs="Verdana" w:ascii="Verdana" w:hAnsi="Verdana"/>
          <w:lang w:val="es-ES_tradnl"/>
        </w:rPr>
        <w:t>El presente acuerdo se convertirá en definitivo, salvo que se produzcan incidencias que no puedan ser resueltas por esta Corporación.”</w:t>
      </w:r>
    </w:p>
    <w:p>
      <w:pPr>
        <w:pStyle w:val="Normal"/>
        <w:widowControl/>
        <w:tabs>
          <w:tab w:val="left" w:pos="709" w:leader="none"/>
        </w:tabs>
        <w:autoSpaceDE w:val="true"/>
        <w:jc w:val="left"/>
        <w:rPr>
          <w:rFonts w:ascii="Verdana" w:hAnsi="Verdana" w:cs="Times New Roman"/>
          <w:lang w:val="es-ES_tradnl" w:eastAsia="en-US" w:bidi="ar-SA"/>
        </w:rPr>
      </w:pPr>
      <w:r>
        <w:rPr>
          <w:rFonts w:cs="Times New Roman" w:ascii="Verdana" w:hAnsi="Verdana"/>
          <w:lang w:val="es-ES_tradnl"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comenta que le parece que esta decisión es importante para que ese dinero no se pierda. No obstante, le gustaría saber en cuanto a la obra de La Tablilla, en qué momento estamos.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Vicente Mena Santana (Grupo Mixto: Cs) considera que es apropiado hacer ciertas modificaciones a ese convenio, teniendo en cuenta que hay obras que no se van a ejecutar, y eso conllevaría la pérdida del dinero. Pregunta si estas nuevas obras están ya ejecutadas o en fase de ejecución, teniendo en cuenta que tenemos un plazo casi cumplido.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Mario Melián Hernández (PSOE) dice que está a favor de que no se pierda ese dinero. Pregunta también por el tema de la obra de La Tablilla.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Efraín González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da las gracias por el apoyo a la propuesta. En este informe propuesta se hace un histórico de todo lo que ha sucedido, con respecto a la obra de La Tablilla, por desgracia para el municipio de Agüimes y sobre todo para los murgueros  y los participantes en colectivos.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Durante el procedimiento de resolución del contrato, se produjo unas modificaciones de normativas, y a propuesta de la oficina técnica municipal, se realizó un anteproyecto aprovechando la cimentación existente, para mejorar las condiciones de algunas partes del edificio.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La semana pasada se tuvo un reunión telemática con los representantes de los colectivos, donde se les presentó las modificaciones del edificio. La propuesta inicial era de 13 locales y ahora pasa a 19.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Con el anteproyecto, luego se tiene que volver a redactar el proyecto. Debido a la limitación de recursos humanos en el ayuntamiento, se licitó la redacción del mismo. El pasado viernes finalizó el plazo de presentación de ofertas. Estimamos que a final de año ya tendremos el proyecto. La obra se licitará después y se ejecutará en los años siguientes, estimando que pueda estar terminada en 2025. En cuanto a la financiación no vamos a tener problemas, porque entra dentro de los ejes de los fondos europeos.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Las obras que se proponen ahora, en su mayoría, están a punto de iniciarse. El plazo de ejecución es corto, lo que hace que de aquí a final de año, estén finalizadas.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modificación del Plan de Cooperación del Cabildo con los Ayuntamientos, anualidades 2016-2019, el mismo es aprobado por unanimidad de los veinte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 xml:space="preserve">10.- RUEGOS Y PREGUNTAS.- </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Don Vicente Mena Santana (Grupo Mixto: Cs):</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1).- Comenta que en el anterior Pleno de agosto de 2020, su grupo presentó una moción sobre medidas y ayudas fiscales a pymes, autónomos y vecinos de Agüimes, que fue rechazada por el grupo de gobierno. Recientemente ha leído en prensa, que Agüimes baja los impuestos en Arinaga, para generar empleo, de lo cual nos alegramos. Se alegra del cambio de postura del grupo de gobierno, aunque llegue seis meses más tarde. Debería extenderse también a los vecinos en general.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2).- Se está desarrollando en el casco de Agüimes, la infraestructura de renovación de las luminarias. Ya en su día, cuando se estaba realizando la obra en la zona del Ejido, ya se dijo que no había carteles anunciadores. Ahora sigue sin haber ningún cartel anunciador. Ruega que se ponga lo antes posible.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eastAsia="Verdana" w:cs="Verdana" w:ascii="Verdana" w:hAnsi="Verdana"/>
          <w:lang w:eastAsia="en-US" w:bidi="ar-SA"/>
        </w:rPr>
        <w:t xml:space="preserve">  </w:t>
      </w: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Don Mario Melián Hernández (PSOE):</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1).- En la Plaza Primero de Mayo, en el Cruce de Arinaga, cuando se hace la limpieza rutinaria con el agua, en el piso, genera un vertido por la C/ Maninidra, con dirección a la gasolinera y el supermercado. Ruega que se tomen las medidas para que esa agua se canalice y vaya al alcantarillado, y no se formen esos charcos.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El Sr. Alcalde contesta:</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1).- Respecto a la Plaza Primero de Mayo tomamos nota. No se puede afectar a terceros por la limpieza.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2).- La propuesta de medidas fiscales es un acuerdo que se firmó con los representantes de los empresarios. No es una cosa puntual por este momento, sino que traen un histórico de la apuesta de este Ayuntamiento, por hacer atractivo a la hora de inversión de proyectos industriales. Son bonificaciones que se han ido produciendo a lo largo de los años.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En este pleno también hemos acordado la suspensión de la tasa de terrazas, la partida para subvencionar los contratos de desempleados del municipio; la reducción del IBI en 2021, que se reducirá también en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3).- En cuanto a la cartelería tomamos nota.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Y no habiendo más asuntos que tratar, la Presidencia da por finalizada la sesión cuando son las veintidós horas y diez minutos del mismo día de su comienzo, y yo el Secretario doy fe.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b/>
        <w:t>EL ALCALDE</w:t>
        <w:tab/>
        <w:tab/>
        <w:tab/>
        <w:tab/>
        <w:tab/>
        <w:t xml:space="preserve">EL SECRETARIO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eastAsia="IBM Plex Sans" w:cs="Times New Roman"/>
          <w:sz w:val="22"/>
          <w:szCs w:val="22"/>
          <w:lang w:eastAsia="en-US" w:bidi="ar-SA"/>
        </w:rPr>
      </w:pPr>
      <w:r>
        <w:rPr>
          <w:rFonts w:eastAsia="IBM Plex Sans" w:cs="Times New Roman" w:ascii="Verdana" w:hAnsi="Verdana"/>
          <w:sz w:val="22"/>
          <w:szCs w:val="22"/>
          <w:lang w:eastAsia="en-US" w:bidi="ar-SA"/>
        </w:rPr>
      </w:r>
    </w:p>
    <w:sectPr>
      <w:headerReference w:type="default" r:id="rId9"/>
      <w:footnotePr>
        <w:numFmt w:val="decimal"/>
      </w:footnotePr>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 w:name="Verdana-Bold">
    <w:charset w:val="00"/>
    <w:family w:val="swiss"/>
    <w:pitch w:val="default"/>
  </w:font>
  <w:font w:name="Verdana-Italic">
    <w:charset w:val="00"/>
    <w:family w:val="swiss"/>
    <w:pitch w:val="default"/>
  </w:font>
  <w:font w:name="Courier New">
    <w:charset w:val="00"/>
    <w:family w:val="moder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imple"/>
        <w:spacing w:before="0" w:after="280"/>
        <w:jc w:val="both"/>
        <w:rPr/>
      </w:pPr>
      <w:r>
        <w:rPr>
          <w:rStyle w:val="Caracteresdenotaalpie"/>
        </w:rPr>
        <w:footnoteRef/>
      </w:r>
      <w:r>
        <w:rPr/>
        <w:t xml:space="preserve"> </w:t>
      </w:r>
      <w:r>
        <w:rPr>
          <w:rFonts w:cs="Verdana" w:ascii="Verdana" w:hAnsi="Verdana"/>
          <w:sz w:val="18"/>
          <w:szCs w:val="18"/>
        </w:rPr>
        <w:t xml:space="preserve">Disposición Final Segunda, TRLSRU, </w:t>
      </w:r>
      <w:r>
        <w:rPr>
          <w:rStyle w:val="Rubrica"/>
          <w:rFonts w:cs="Verdana" w:ascii="Verdana" w:hAnsi="Verdana"/>
          <w:sz w:val="18"/>
          <w:szCs w:val="18"/>
        </w:rPr>
        <w:t>Título competencial y ámbito de aplicación: “</w:t>
      </w:r>
      <w:r>
        <w:rPr>
          <w:rFonts w:cs="Verdana" w:ascii="Verdana" w:hAnsi="Verdana"/>
          <w:i/>
          <w:iCs/>
          <w:sz w:val="18"/>
          <w:szCs w:val="18"/>
        </w:rPr>
        <w:t>3. Los artículos 51 y 52, apartados 1 y 2, tienen el carácter de bases de la planificación general de la actividad económica dictadas en ejercicio de la competencia reservada al legislador estatal en el artículo 149.1.13.ª de la Constitución, sin perjuicio de las competencias exclusivas sobre suelo y urbanismo que tengan atribuidas las Comunidades Autónomas.”</w:t>
      </w:r>
      <w:r>
        <w:rPr>
          <w:rFonts w:cs="Verdana" w:ascii="Verdana" w:hAnsi="Verdana"/>
          <w:sz w:val="18"/>
          <w:szCs w:val="18"/>
        </w:rPr>
        <w:t>.</w:t>
      </w:r>
    </w:p>
    <w:p>
      <w:pPr>
        <w:pStyle w:val="Simple"/>
        <w:spacing w:before="280" w:after="280"/>
        <w:jc w:val="both"/>
        <w:rPr>
          <w:rFonts w:cs="Calibri"/>
        </w:rPr>
      </w:pPr>
      <w:r>
        <w:rPr>
          <w:rFonts w:cs="Calibri"/>
        </w:rPr>
      </w:r>
    </w:p>
  </w:footnote>
  <w:footnote w:id="3">
    <w:p>
      <w:pPr>
        <w:pStyle w:val="Ttulo2"/>
        <w:spacing w:before="240" w:after="60"/>
        <w:rPr>
          <w:rFonts w:ascii="Verdana" w:hAnsi="Verdana" w:cs="Verdana"/>
          <w:b w:val="false"/>
          <w:b w:val="false"/>
          <w:bCs w:val="false"/>
          <w:sz w:val="18"/>
          <w:szCs w:val="18"/>
        </w:rPr>
      </w:pPr>
      <w:r>
        <w:rPr>
          <w:rStyle w:val="Caracteresdenotaalpie"/>
        </w:rPr>
        <w:footnoteRef/>
      </w:r>
      <w:r>
        <w:rPr>
          <w:rFonts w:cs="Verdana" w:ascii="Verdana" w:hAnsi="Verdana"/>
          <w:b w:val="false"/>
          <w:bCs w:val="false"/>
          <w:sz w:val="18"/>
          <w:szCs w:val="18"/>
        </w:rPr>
        <w:t xml:space="preserve"> </w:t>
      </w:r>
      <w:r>
        <w:rPr>
          <w:rFonts w:cs="Verdana" w:ascii="Verdana" w:hAnsi="Verdana"/>
          <w:b w:val="false"/>
          <w:bCs w:val="false"/>
          <w:sz w:val="18"/>
          <w:szCs w:val="18"/>
        </w:rPr>
        <w:t xml:space="preserve">Derogado por la 4/2017, de 13 de julio, del Suelo y de los Espacios Naturales Protegidos de Canarias </w:t>
      </w:r>
    </w:p>
    <w:p>
      <w:pPr>
        <w:pStyle w:val="Ttulo2"/>
        <w:spacing w:before="240" w:after="60"/>
        <w:rPr>
          <w:rFonts w:ascii="Verdana" w:hAnsi="Verdana" w:cs="Verdana"/>
          <w:b w:val="false"/>
          <w:b w:val="false"/>
          <w:bCs w:val="false"/>
          <w:sz w:val="18"/>
          <w:szCs w:val="18"/>
        </w:rPr>
      </w:pPr>
      <w:r>
        <w:rPr>
          <w:rFonts w:cs="Verdana" w:ascii="Verdana" w:hAnsi="Verdana"/>
          <w:b w:val="false"/>
          <w:bCs w:val="false"/>
          <w:sz w:val="18"/>
          <w:szCs w:val="18"/>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4">
          <wp:simplePos x="0" y="0"/>
          <wp:positionH relativeFrom="column">
            <wp:posOffset>-1078230</wp:posOffset>
          </wp:positionH>
          <wp:positionV relativeFrom="paragraph">
            <wp:posOffset>-440690</wp:posOffset>
          </wp:positionV>
          <wp:extent cx="7536815" cy="10668000"/>
          <wp:effectExtent l="0" t="0" r="0" b="0"/>
          <wp:wrapNone/>
          <wp:docPr id="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rFonts w:ascii="Verdana" w:hAnsi="Verdana" w:eastAsia="Arial" w:cs="Verdan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decimal"/>
      <w:lvlText w:val="%2.%3."/>
      <w:lvlJc w:val="left"/>
      <w:pPr>
        <w:ind w:left="2160" w:hanging="360"/>
      </w:pPr>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decimal"/>
      <w:lvlText w:val="%1."/>
      <w:lvlJc w:val="left"/>
      <w:pPr>
        <w:ind w:left="720" w:hanging="360"/>
      </w:pPr>
      <w:rPr>
        <w:sz w:val="20"/>
        <w:szCs w:val="20"/>
        <w:rFonts w:ascii="Verdana" w:hAnsi="Verdana" w:eastAsia="Verdana" w:cs="Verdana"/>
        <w:lang w:eastAsia="es-ES"/>
      </w:rPr>
    </w:lvl>
  </w:abstractNum>
  <w:abstractNum w:abstractNumId="4">
    <w:lvl w:ilvl="0">
      <w:start w:val="1"/>
      <w:numFmt w:val="upperLetter"/>
      <w:lvlText w:val="%1."/>
      <w:lvlJc w:val="left"/>
      <w:pPr>
        <w:tabs>
          <w:tab w:val="num" w:pos="720"/>
        </w:tabs>
        <w:ind w:left="720" w:hanging="360"/>
      </w:pPr>
      <w:rPr>
        <w:sz w:val="20"/>
        <w:szCs w:val="20"/>
        <w:rFonts w:ascii="Verdana" w:hAnsi="Verdana" w:eastAsia="Verdana" w:cs="Verdana"/>
        <w:lang w:val="es-ES"/>
      </w:rPr>
    </w:lvl>
  </w:abstractNum>
  <w:abstractNum w:abstractNumId="5">
    <w:lvl w:ilvl="0">
      <w:start w:val="1"/>
      <w:numFmt w:val="decimal"/>
      <w:lvlText w:val="%1."/>
      <w:lvlJc w:val="left"/>
      <w:pPr>
        <w:ind w:left="720" w:hanging="360"/>
      </w:pPr>
      <w:rPr>
        <w:rFonts w:ascii="Verdana" w:hAnsi="Verdana" w:eastAsia="Verdana" w:cs="Verdana"/>
        <w:lang w:val="es-E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wmf"/><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8.jpeg"/>
</Relationships>
</file>

<file path=docProps/app.xml><?xml version="1.0" encoding="utf-8"?>
<Properties xmlns="http://schemas.openxmlformats.org/officeDocument/2006/extended-properties" xmlns:vt="http://schemas.openxmlformats.org/officeDocument/2006/docPropsVTypes">
  <Template/>
  <TotalTime>128</TotalTime>
  <Application>LibreOffice/6.4.3.2$Windows_X86_64 LibreOffice_project/747b5d0ebf89f41c860ec2a39efd7cb15b54f2d8</Application>
  <Pages>53</Pages>
  <Words>17466</Words>
  <Characters>93883</Characters>
  <CharactersWithSpaces>110951</CharactersWithSpaces>
  <Paragraphs>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2021-06-17T11:32:07Z</cp:lastPrinted>
  <dcterms:modified xsi:type="dcterms:W3CDTF">2021-06-18T08:54:11Z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