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autoSpaceDE w:val="true"/>
        <w:jc w:val="left"/>
        <w:rPr>
          <w:rFonts w:ascii="Roboto Slab" w:hAnsi="Roboto Slab" w:cs="Roboto Slab"/>
          <w:b/>
          <w:b/>
          <w:bCs/>
          <w:i w:val="false"/>
          <w:i w:val="false"/>
          <w:iCs w:val="false"/>
          <w:color w:val="000080"/>
          <w:sz w:val="36"/>
          <w:szCs w:val="36"/>
          <w:u w:val="none"/>
          <w:lang w:val="es-ES" w:eastAsia="en-US" w:bidi="ar-SA"/>
        </w:rPr>
      </w:pP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  <w:lang w:val="es-ES" w:eastAsia="en-US" w:bidi="ar-SA"/>
        </w:rPr>
        <w:t>ACUERDOS PLENO</w:t>
      </w:r>
    </w:p>
    <w:p>
      <w:pPr>
        <w:pStyle w:val="Normal"/>
        <w:widowControl/>
        <w:autoSpaceDE w:val="true"/>
        <w:jc w:val="left"/>
        <w:rPr/>
      </w:pPr>
      <w:r>
        <w:rPr>
          <w:rFonts w:eastAsia="Times New Roman" w:cs="Roboto Slab" w:ascii="Roboto Slab" w:hAnsi="Roboto Slab"/>
          <w:b/>
          <w:bCs/>
          <w:i w:val="false"/>
          <w:iCs w:val="false"/>
          <w:color w:val="000080"/>
          <w:kern w:val="2"/>
          <w:sz w:val="36"/>
          <w:szCs w:val="36"/>
          <w:u w:val="none"/>
          <w:lang w:val="es-ES" w:eastAsia="ar-SA" w:bidi="ar-SA"/>
        </w:rPr>
        <w:t>VEINTICINCO</w:t>
      </w: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 xml:space="preserve"> DE </w:t>
      </w: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>OCTU</w:t>
      </w: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>BRE</w:t>
      </w: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 xml:space="preserve"> DE DOS MIL VEINTIUNO</w:t>
      </w:r>
    </w:p>
    <w:p>
      <w:pPr>
        <w:pStyle w:val="Normal"/>
        <w:widowControl/>
        <w:tabs>
          <w:tab w:val="clear" w:pos="709"/>
          <w:tab w:val="left" w:pos="0" w:leader="none"/>
        </w:tabs>
        <w:autoSpaceDE w:val="true"/>
        <w:ind w:left="0" w:right="0" w:firstLine="851"/>
        <w:jc w:val="left"/>
        <w:rPr>
          <w:rFonts w:ascii="Verdana" w:hAnsi="Verdana" w:cs="Times New Roman"/>
          <w:lang w:eastAsia="en-US" w:bidi="ar-SA"/>
        </w:rPr>
      </w:pPr>
      <w:r>
        <w:rPr>
          <w:rFonts w:cs="Times New Roman" w:ascii="Verdana" w:hAnsi="Verdana"/>
          <w:lang w:eastAsia="en-US" w:bidi="ar-SA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  <w:u w:val="none"/>
        </w:rPr>
        <w:t>1.- SECRETARÍA GENERAL.</w:t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  <w:u w:val="none"/>
        </w:rPr>
        <w:t>NÚMERO: 2021/13072C. LECTURA Y APROBACIÓN, SI PROCEDE, DE LOS BORRADORES DE ACTAS DE LAS SESIONES ANTERIORES.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Sometido a votación el punto referente a la aprobación de los borradores de actas de las sesiones anteriores, el mismo es aprobado con veinte votos a favor (Roque Aguayro, PSOE y Grupo Mixto: Cs) y una abstención (Grupo Mixto: CC).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  <w:u w:val="none"/>
        </w:rPr>
        <w:t>2.- ÁREA DE SERVICIOS SOCIALES.</w:t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  <w:u w:val="none"/>
        </w:rPr>
        <w:t>NÚMERO: 2021/9105N. ADHESIÓN A LA CARTA DE OBJETIVOS EDUCADORES DEL PROYECTO “MUNICIPIOS E ISLAS EDUCADORES”.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Sometido a votación el punto referente a la adhesión a la “Carta de objetivos educadores”, así como al “Pacto social, Político y Económico por la educación”, el mismo es aprobado por unanimidad de los veintiún asistentes.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  <w:u w:val="none"/>
        </w:rPr>
        <w:t>3.- ÁREA DE SERVICIOS SOCIALES.</w:t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  <w:u w:val="none"/>
        </w:rPr>
        <w:t>NÚMERO: 2021/10093P. CONVENIO CON LA FUNDACIÓN CANARIA DE LA JUVENTUD IDEO PARA LA EJECUCIÓN DE MEDIDAS JUDICIALES IMPUESTAS A MENORES Y JÓVENES.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Sometido a votación el punto referente a la aprobación del borrador del convenio de colaboración con la Fundación Canaria de Juventud IDEO, para la ejecución de medidas judiciales impuestas a menores y jóvenes (prestaciones en beneficio de la comunidad), el mismo es aprobado por unanimidad de los veintiún asistentes.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  <w:u w:val="none"/>
        </w:rPr>
        <w:t>4.- ASESORÍA JURÍDICA.</w:t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  <w:u w:val="none"/>
        </w:rPr>
        <w:t>NÚMERO: 2021/1681V. INICIO DE LA EVALUACIÓN AMBIENTAL ESTRATÉGICA SIMPLIFICADA DEL PLAN ESPECIAL DE ORDENACIÓN DE LA ZONA DE SERVICIO DEL PUERTO DE ARINAGA.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bookmarkStart w:id="0" w:name="_GoBack"/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Sometido a votación el punto referente a la solicitud de inicio de evaluación ambiental estratégica simplificada del Plan Especial de la Zona de Servicio del Puerto de Arinaga, el mismo es aprobado por unanimidad de los veintiún asistentes.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  <w:u w:val="none"/>
        </w:rPr>
        <w:t>5.- SECRETARÍA GENERAL</w:t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  <w:u w:val="none"/>
        </w:rPr>
        <w:t>NÚMERO: 2021/13203J. MODIFICACIÓN DE REPRESENTANTE EN LA MESA GENERAL DE NEGOCIACIÓN.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Verdana" w:cs="Verdana"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Por tanto, se da cuenta al Pleno de la modificación de uno de sus miembros, quedando la composición como sigue: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DON RÁUL MARTEL VEGA.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DON AGUSTÍN TRUJILLO RODRÍGUEZ.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DON EFRAÍN ALBERTO GONZÁLEZ RODRÍGUEZ.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  <w:u w:val="none"/>
        </w:rPr>
        <w:t>6.- SECRETARÍA GENERAL</w:t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  <w:u w:val="none"/>
        </w:rPr>
        <w:t>NÚMERO: 2021/13053R. MOCIÓN GRUPO MIXTO (CC) “CATÁLOGO DE PRESTACIONES Y SERVICIOS DEL SISTEMA PÚBLICO DE SERVICIOS SOCIALES DE CANARIAS”.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Sometido a votación el punto referente a la moción del Grupo Mixto (CC)  sobre el catálogo de prestaciones y servicios del sistema público de servicios sociales de Canarias, el mismo es aprobado con dieciocho votos a favor (Roque Aguayro y Grupo Mixto: Cs y CC) y tres votos en contra (PSOE).</w:t>
        <w:tab/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  <w:u w:val="none"/>
        </w:rPr>
        <w:t>7.- SECRETARÍA GENERAL.</w:t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  <w:u w:val="none"/>
        </w:rPr>
        <w:t>NÚMERO: 2021/13007R.  MOCIÓN DEL GRUPO MIXTO (Cs) “REHABILITACIÓN DE LA BALAUSTRADA DE PROTECCIÓN A LOS MÁRGENES DEL CANAL DEL POLÍGONO INDUSTRIAL DE ARINAGA”.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Verdana" w:cs="Verdana"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Sometido a votación el punto referente a la moción del Grupo Mixto: Cs sobre rehabilitación de la balaustrada de protección a los márgenes del canal del Polígono Industrial de Arinaga, con la modificación indicada, el mismo es aprobado por unanimidad de los veintiún asistentes.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  <w:u w:val="none"/>
        </w:rPr>
        <w:t>8.- SECRETARÍA GENERAL.</w:t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  <w:u w:val="none"/>
        </w:rPr>
        <w:t>NÚMERO: 2021/13050K. MOCIÓN PSOE “DISTINTIVO VERDE PARA ESTABLECIMIENTOS TURÍSTICOS”.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Sometido a votación el punto referente a la moción del PSOE sobre distintivo verde para establecimientos turísticos, el mismo NO es aprobado, con cinco votos a favor (PSOE y Grupo Mixto: Cs y CC) y dieciséis votos en contra (Roque Aguayro).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  <w:u w:val="none"/>
        </w:rPr>
        <w:t>9.- SECRETARÍA GENERAL.</w:t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  <w:u w:val="none"/>
        </w:rPr>
        <w:t>NÚMERO: 2021/12854D. MOCIÓN ROQUE AGUAYRO “CREACIÓN DEL NUEVO PARTIDO JUDICIAL DE AGÜIMES”.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Sometido a votación el punto referente a la moción del Grupo Roque Aguayro sobre la creación del nuevo partido judicial de Agüimes, el mismo es aprobado por unanimidad de los veintiún asistentes.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  <w:u w:val="none"/>
        </w:rPr>
        <w:t>10.- SECRETARÍA GENERAL.</w:t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  <w:u w:val="none"/>
        </w:rPr>
        <w:t>NÚMERO: 2021/12850M. MOCIÓN ROQUE AGUAYRO “MODIFICACIÓN DEL TEXTO REFUNDIDO DE LA LEY DEL SUELO Y REHABILITACIÓN URBANA”.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Sometido a votación el punto referente a la moción del Grupo Roque Aguayro sobre modificación del Real Decreto Legislativo 7/2015, de 30 de octubre, por el que se aprueba el Texto Refundido de la Ley del Suelo y Rehabilitación urbana, el mismo es aprobado por unanimidad de los veintiún asistentes.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  <w:u w:val="none"/>
        </w:rPr>
        <w:t>11.- SECRETARIA GENERAL.</w:t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  <w:u w:val="none"/>
        </w:rPr>
        <w:t>NÚMERO: 2021/12632V. PROPUESTA DE ROQUE AGUAYRO DE ADHESIÓN AL “MANIFIESTO POR LA DESCARBONIZACIÓN DE GRAN CANARIA Y A FAVOR DE SALTO DE CHIRA”.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Sometido a votación el punto referente a la propuesta del Grupo Roque Aguayro de adhesión al “Manifiesto por la descarbonización de Gran Canaria y a favor de Salto de Chira, el mismo es aprobado con veinte votos a favor (Roque Aguayro, PSOE y Grupo Mixto: CC) y uno en contra (Grupo Mixto: Cs).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  <w:u w:val="none"/>
        </w:rPr>
        <w:t>12.- DACIÓN DE CUENTA DECRETOS DE LA ALCALDÍA, ACTAS DE LA JUNTA DE GOBIERNO LOCAL Y ACTAS DE LA JUNTA GENERAL DE LA MANCOMUNIDAD.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bookmarkStart w:id="1" w:name="_GoBack"/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El Sr. Alcalde da cuenta de las actas de la Junta de Gobierno Local, celebradas desde el 6 de septiembre de 2021 hasta el 4 de octubre de 2021, y de los Decretos de la Alcaldía desde el 2021/2488 al 2021/2716. Asimismo, se dio cuenta del acta de la Junta General de la Mancomunidad de fecha 20 de julio de 2021.</w:t>
      </w:r>
      <w:bookmarkEnd w:id="1"/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Tele-GroteskNor">
    <w:charset w:val="00"/>
    <w:family w:val="roman"/>
    <w:pitch w:val="variable"/>
  </w:font>
  <w:font w:name="Wingdings">
    <w:charset w:val="02"/>
    <w:family w:val="auto"/>
    <w:pitch w:val="variable"/>
  </w:font>
  <w:font w:name="Candara"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Roboto Slab">
    <w:charset w:val="00"/>
    <w:family w:val="swiss"/>
    <w:pitch w:val="variable"/>
  </w:font>
  <w:font w:name="Roboto Slab">
    <w:charset w:val="00"/>
    <w:family w:val="roman"/>
    <w:pitch w:val="variable"/>
  </w:font>
  <w:font w:name="Verdana">
    <w:charset w:val="00"/>
    <w:family w:val="swiss"/>
    <w:pitch w:val="variable"/>
  </w:font>
  <w:font w:name="IBM Plex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Caracteresdenotaalpie">
    <w:name w:val="Caracteres de nota al pie"/>
    <w:basedOn w:val="Fuentedeprrafopredeter"/>
    <w:qFormat/>
    <w:rPr>
      <w:rFonts w:cs="Times New Roman"/>
      <w:vertAlign w:val="superscript"/>
    </w:rPr>
  </w:style>
  <w:style w:type="character" w:styleId="Rubrica">
    <w:name w:val="rubrica"/>
    <w:basedOn w:val="Fuentedeprrafopredeter"/>
    <w:qFormat/>
    <w:rPr>
      <w:rFonts w:cs="Times New Roman"/>
    </w:rPr>
  </w:style>
  <w:style w:type="character" w:styleId="Highlight">
    <w:name w:val="highlight"/>
    <w:basedOn w:val="Fuentedeprrafopredeter"/>
    <w:qFormat/>
    <w:rPr>
      <w:rFonts w:cs="Times New Roman"/>
    </w:rPr>
  </w:style>
  <w:style w:type="character" w:styleId="Documentotitulo1">
    <w:name w:val="documentotitulo1"/>
    <w:basedOn w:val="Fuentedeprrafopredeter"/>
    <w:qFormat/>
    <w:rPr/>
  </w:style>
  <w:style w:type="character" w:styleId="Resalte">
    <w:name w:val="resalte"/>
    <w:basedOn w:val="Fuentedeprrafopredeter"/>
    <w:qFormat/>
    <w:rPr/>
  </w:style>
  <w:style w:type="character" w:styleId="Destacado">
    <w:name w:val="Destacado"/>
    <w:qFormat/>
    <w:rPr>
      <w:i/>
      <w:iCs/>
    </w:rPr>
  </w:style>
  <w:style w:type="character" w:styleId="Muydestacado">
    <w:name w:val="Muy destacado"/>
    <w:qFormat/>
    <w:rPr>
      <w:b/>
      <w:bCs/>
    </w:rPr>
  </w:style>
  <w:style w:type="character" w:styleId="WW8Num24z2">
    <w:name w:val="WW8Num24z2"/>
    <w:qFormat/>
    <w:rPr/>
  </w:style>
  <w:style w:type="character" w:styleId="WW8Num24z3">
    <w:name w:val="WW8Num24z3"/>
    <w:qFormat/>
    <w:rPr>
      <w:rFonts w:ascii="Wingdings" w:hAnsi="Wingdings" w:cs="Wingdings"/>
      <w:sz w:val="20"/>
    </w:rPr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Ancladenotaalpie">
    <w:name w:val="Ancla de nota al pie"/>
    <w:rPr>
      <w:vertAlign w:val="superscript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9z0">
    <w:name w:val="WW8Num19z0"/>
    <w:qFormat/>
    <w:rPr>
      <w:b/>
    </w:rPr>
  </w:style>
  <w:style w:type="character" w:styleId="WW8Num22z0">
    <w:name w:val="WW8Num22z0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St">
    <w:name w:val="st"/>
    <w:qFormat/>
    <w:rPr/>
  </w:style>
  <w:style w:type="character" w:styleId="TextoindependienteCar1">
    <w:name w:val="Texto independiente Car1"/>
    <w:qFormat/>
    <w:rPr>
      <w:rFonts w:eastAsia="Calibri"/>
      <w:lang w:eastAsia="es-ES"/>
    </w:rPr>
  </w:style>
  <w:style w:type="character" w:styleId="TextoindependienteprimerasangraCar">
    <w:name w:val="Texto independiente primera sangría Car"/>
    <w:qFormat/>
    <w:rPr>
      <w:rFonts w:ascii="Times New Roman" w:hAnsi="Times New Roman" w:eastAsia="Times New Roman"/>
      <w:lang w:eastAsia="es-ES"/>
    </w:rPr>
  </w:style>
  <w:style w:type="character" w:styleId="Linktodoc">
    <w:name w:val="linktodoc"/>
    <w:qFormat/>
    <w:rPr/>
  </w:style>
  <w:style w:type="character" w:styleId="Nt">
    <w:name w:val="nt"/>
    <w:qFormat/>
    <w:rPr/>
  </w:style>
  <w:style w:type="character" w:styleId="FontStyle15">
    <w:name w:val="Font Style15"/>
    <w:qFormat/>
    <w:rPr>
      <w:rFonts w:ascii="Times New Roman" w:hAnsi="Times New Roman" w:eastAsia="Times New Roman"/>
      <w:color w:val="000000"/>
      <w:sz w:val="18"/>
    </w:rPr>
  </w:style>
  <w:style w:type="character" w:styleId="FontStyle17">
    <w:name w:val="Font Style17"/>
    <w:qFormat/>
    <w:rPr>
      <w:rFonts w:ascii="Candara" w:hAnsi="Candara" w:eastAsia="Candara"/>
      <w:color w:val="000000"/>
      <w:sz w:val="18"/>
    </w:rPr>
  </w:style>
  <w:style w:type="character" w:styleId="FontStyle21">
    <w:name w:val="Font Style21"/>
    <w:qFormat/>
    <w:rPr>
      <w:rFonts w:ascii="Bookman Old Style" w:hAnsi="Bookman Old Style" w:eastAsia="Bookman Old Style"/>
      <w:color w:val="000000"/>
      <w:sz w:val="8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>
      <w:rFonts w:ascii="Arial" w:hAnsi="Arial" w:eastAsia="Arial"/>
      <w:b/>
      <w:bCs/>
      <w:sz w:val="22"/>
      <w:szCs w:val="22"/>
    </w:rPr>
  </w:style>
  <w:style w:type="character" w:styleId="WW8Num41z1">
    <w:name w:val="WW8Num41z1"/>
    <w:qFormat/>
    <w:rPr>
      <w:lang w:val="es-ES" w:eastAsia="en-US"/>
    </w:rPr>
  </w:style>
  <w:style w:type="character" w:styleId="WW8Num41z0">
    <w:name w:val="WW8Num41z0"/>
    <w:qFormat/>
    <w:rPr>
      <w:rFonts w:ascii="Arial" w:hAnsi="Arial" w:eastAsia="Arial"/>
      <w:spacing w:val="-1"/>
      <w:w w:val="100"/>
      <w:sz w:val="20"/>
      <w:szCs w:val="20"/>
      <w:lang w:val="es-ES" w:eastAsia="ar-SA"/>
    </w:rPr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/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1">
    <w:name w:val="WW8Num37z1"/>
    <w:qFormat/>
    <w:rPr>
      <w:lang w:val="es-ES" w:eastAsia="en-US"/>
    </w:rPr>
  </w:style>
  <w:style w:type="character" w:styleId="WW8Num37z0">
    <w:name w:val="WW8Num37z0"/>
    <w:qFormat/>
    <w:rPr>
      <w:rFonts w:ascii="Arial" w:hAnsi="Arial" w:eastAsia="Arial"/>
      <w:spacing w:val="-1"/>
      <w:w w:val="100"/>
      <w:sz w:val="20"/>
      <w:szCs w:val="20"/>
      <w:lang w:val="es-ES" w:eastAsia="ar-SA"/>
    </w:rPr>
  </w:style>
  <w:style w:type="character" w:styleId="WW8Num36z2">
    <w:name w:val="WW8Num36z2"/>
    <w:qFormat/>
    <w:rPr/>
  </w:style>
  <w:style w:type="character" w:styleId="WW8Num36z1">
    <w:name w:val="WW8Num36z1"/>
    <w:qFormat/>
    <w:rPr>
      <w:rFonts w:ascii="Courier New" w:hAnsi="Courier New" w:eastAsia="Courier New"/>
      <w:sz w:val="20"/>
    </w:rPr>
  </w:style>
  <w:style w:type="character" w:styleId="WW8Num36z0">
    <w:name w:val="WW8Num36z0"/>
    <w:qFormat/>
    <w:rPr>
      <w:sz w:val="20"/>
    </w:rPr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0">
    <w:name w:val="WW8Num28z0"/>
    <w:qFormat/>
    <w:rPr>
      <w:rFonts w:ascii="Cambria" w:hAnsi="Cambria" w:eastAsia="Cambria"/>
      <w:b/>
      <w:i w:val="false"/>
      <w:color w:val="000000"/>
      <w:sz w:val="20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0">
    <w:name w:val="WW8Num27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11z2">
    <w:name w:val="WW8Num11z2"/>
    <w:qFormat/>
    <w:rPr/>
  </w:style>
  <w:style w:type="character" w:styleId="TextonotapieCar">
    <w:name w:val="Texto nota pie Car"/>
    <w:qFormat/>
    <w:rPr>
      <w:rFonts w:eastAsia="Times New Roman"/>
    </w:rPr>
  </w:style>
  <w:style w:type="character" w:styleId="Feact">
    <w:name w:val="feac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Simple">
    <w:name w:val="simple"/>
    <w:basedOn w:val="Normal"/>
    <w:qFormat/>
    <w:pPr>
      <w:widowControl/>
      <w:autoSpaceDE w:val="true"/>
      <w:spacing w:before="280" w:after="280"/>
    </w:pPr>
    <w:rPr>
      <w:rFonts w:ascii="Times New Roman" w:hAnsi="Times New Roman" w:cs="Times New Roman"/>
      <w:sz w:val="24"/>
      <w:szCs w:val="24"/>
      <w:lang w:bidi="ar-SA"/>
    </w:rPr>
  </w:style>
  <w:style w:type="paragraph" w:styleId="Notaalpi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00">
    <w:name w:val="Normal_0_0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s-ES" w:bidi="ar-SA" w:eastAsia="zh-CN"/>
    </w:rPr>
  </w:style>
  <w:style w:type="paragraph" w:styleId="Pa9">
    <w:name w:val="Pa9"/>
    <w:basedOn w:val="Normal"/>
    <w:qFormat/>
    <w:pPr>
      <w:widowControl/>
      <w:spacing w:lineRule="atLeast" w:line="201"/>
    </w:pPr>
    <w:rPr>
      <w:rFonts w:ascii="Arial" w:hAnsi="Arial" w:eastAsia="Arial"/>
    </w:rPr>
  </w:style>
  <w:style w:type="paragraph" w:styleId="Textoindependienteprimerasangra">
    <w:name w:val="Texto independiente primera sangría"/>
    <w:qFormat/>
    <w:pPr>
      <w:widowControl/>
      <w:suppressAutoHyphens w:val="true"/>
      <w:kinsoku w:val="true"/>
      <w:overflowPunct w:val="true"/>
      <w:autoSpaceDE w:val="true"/>
      <w:bidi w:val="0"/>
      <w:spacing w:before="0" w:after="120"/>
      <w:ind w:left="0" w:right="0" w:firstLine="210"/>
    </w:pPr>
    <w:rPr>
      <w:rFonts w:ascii="Times New Roman" w:hAnsi="Times New Roman" w:eastAsia="0" w:cs="Liberation Serif"/>
      <w:color w:val="auto"/>
      <w:kern w:val="2"/>
      <w:sz w:val="24"/>
      <w:szCs w:val="24"/>
      <w:lang w:val="es-ES" w:eastAsia="hi-IN" w:bidi="hi-IN"/>
    </w:rPr>
  </w:style>
  <w:style w:type="paragraph" w:styleId="Textoindependiente21">
    <w:name w:val="Texto independiente 21"/>
    <w:basedOn w:val="Normal"/>
    <w:qFormat/>
    <w:pPr>
      <w:spacing w:lineRule="exact" w:line="480" w:before="0" w:after="120"/>
    </w:pPr>
    <w:rPr>
      <w:rFonts w:ascii="Times New Roman" w:hAnsi="Times New Roman" w:eastAsia="Times New Roman"/>
      <w:lang w:val="zxx"/>
    </w:rPr>
  </w:style>
  <w:style w:type="paragraph" w:styleId="Textoindependiente22">
    <w:name w:val="Texto independiente 22"/>
    <w:basedOn w:val="Normal"/>
    <w:qFormat/>
    <w:pPr>
      <w:widowControl/>
      <w:spacing w:lineRule="exact" w:line="480" w:before="0" w:after="120"/>
    </w:pPr>
    <w:rPr>
      <w:rFonts w:ascii="Times New Roman" w:hAnsi="Times New Roman" w:eastAsia="Times New Roman"/>
    </w:rPr>
  </w:style>
  <w:style w:type="paragraph" w:styleId="BodyText3">
    <w:name w:val="Body Text 3"/>
    <w:basedOn w:val="Normal"/>
    <w:qFormat/>
    <w:pPr/>
    <w:rPr>
      <w:rFonts w:ascii="Times New Roman" w:hAnsi="Times New Roman" w:eastAsia="Times New Roman"/>
    </w:rPr>
  </w:style>
  <w:style w:type="paragraph" w:styleId="Justificado">
    <w:name w:val="justificado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Textodebloque">
    <w:name w:val="Texto de bloque"/>
    <w:basedOn w:val="Normal"/>
    <w:qFormat/>
    <w:pPr>
      <w:widowControl/>
      <w:ind w:left="2268" w:right="363" w:hanging="1559"/>
    </w:pPr>
    <w:rPr>
      <w:rFonts w:ascii="Times New Roman" w:hAnsi="Times New Roman" w:eastAsia="Times New Roman"/>
      <w:szCs w:val="20"/>
    </w:rPr>
  </w:style>
  <w:style w:type="paragraph" w:styleId="Normal3">
    <w:name w:val="Normal+3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0" w:cs="Liberation Serif"/>
      <w:color w:val="000000"/>
      <w:kern w:val="2"/>
      <w:sz w:val="24"/>
      <w:szCs w:val="24"/>
      <w:lang w:val="es-ES" w:eastAsia="hi-IN" w:bidi="hi-IN"/>
    </w:rPr>
  </w:style>
  <w:style w:type="paragraph" w:styleId="A">
    <w:name w:val="a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Parrafo">
    <w:name w:val="parrafo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Style71">
    <w:name w:val="Style7"/>
    <w:basedOn w:val="Normal"/>
    <w:qFormat/>
    <w:pPr/>
    <w:rPr>
      <w:rFonts w:ascii="Candara" w:hAnsi="Candara" w:eastAsia="Candara"/>
    </w:rPr>
  </w:style>
  <w:style w:type="paragraph" w:styleId="Style21">
    <w:name w:val="Style2"/>
    <w:basedOn w:val="Normal"/>
    <w:qFormat/>
    <w:pPr/>
    <w:rPr>
      <w:rFonts w:ascii="Candara" w:hAnsi="Candara" w:eastAsia="Candara"/>
    </w:rPr>
  </w:style>
  <w:style w:type="paragraph" w:styleId="Style61">
    <w:name w:val="Style6"/>
    <w:basedOn w:val="Normal"/>
    <w:qFormat/>
    <w:pPr/>
    <w:rPr>
      <w:rFonts w:ascii="Candara" w:hAnsi="Candara" w:eastAsia="Candara"/>
    </w:rPr>
  </w:style>
  <w:style w:type="paragraph" w:styleId="Predeterminado">
    <w:name w:val="Predeterminado"/>
    <w:qFormat/>
    <w:pPr>
      <w:widowControl/>
      <w:tabs>
        <w:tab w:val="clear" w:pos="709"/>
        <w:tab w:val="left" w:pos="708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Liberation Serif" w:cs="Liberation Serif"/>
      <w:color w:val="auto"/>
      <w:kern w:val="2"/>
      <w:sz w:val="22"/>
      <w:szCs w:val="22"/>
      <w:lang w:val="es-ES" w:eastAsia="hi-IN" w:bidi="hi-IN"/>
    </w:rPr>
  </w:style>
  <w:style w:type="paragraph" w:styleId="Articulo">
    <w:name w:val="articulo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Xl2">
    <w:name w:val="xl2"/>
    <w:basedOn w:val="Normal"/>
    <w:qFormat/>
    <w:pPr>
      <w:widowControl/>
      <w:spacing w:before="0" w:after="240"/>
      <w:ind w:left="525" w:right="75" w:hanging="225"/>
    </w:pPr>
    <w:rPr>
      <w:rFonts w:ascii="Times New Roman" w:hAnsi="Times New Roman" w:eastAsia="Times New Roman"/>
    </w:rPr>
  </w:style>
  <w:style w:type="paragraph" w:styleId="Encabezado2">
    <w:name w:val="Encabezado2"/>
    <w:basedOn w:val="Normal"/>
    <w:qFormat/>
    <w:pPr>
      <w:widowControl/>
    </w:pPr>
    <w:rPr>
      <w:rFonts w:ascii="Tele-GroteskNor" w:hAnsi="Tele-GroteskNor" w:eastAsia="Tele-GroteskNor"/>
    </w:rPr>
  </w:style>
  <w:style w:type="paragraph" w:styleId="ListParagraph">
    <w:name w:val="List Paragraph"/>
    <w:basedOn w:val="Normal"/>
    <w:qFormat/>
    <w:pPr>
      <w:widowControl/>
      <w:spacing w:lineRule="exact" w:line="276" w:before="0" w:after="200"/>
      <w:ind w:left="720" w:hanging="0"/>
      <w:contextualSpacing/>
    </w:pPr>
    <w:rPr>
      <w:rFonts w:eastAsia="Times New Roman"/>
    </w:rPr>
  </w:style>
  <w:style w:type="paragraph" w:styleId="Prrafodelista11">
    <w:name w:val="Párrafo de lista_1"/>
    <w:basedOn w:val="Normal"/>
    <w:qFormat/>
    <w:pPr>
      <w:widowControl/>
      <w:spacing w:lineRule="exact" w:line="276" w:before="0" w:after="200"/>
      <w:ind w:left="720" w:hanging="0"/>
      <w:contextualSpacing/>
    </w:pPr>
    <w:rPr>
      <w:rFonts w:eastAsia="Times New Roman"/>
    </w:rPr>
  </w:style>
  <w:style w:type="paragraph" w:styleId="Prrafodelista00">
    <w:name w:val="Párrafo de lista_0_0"/>
    <w:basedOn w:val="Normal"/>
    <w:qFormat/>
    <w:pPr>
      <w:ind w:left="196" w:hanging="352"/>
    </w:pPr>
    <w:rPr>
      <w:rFonts w:ascii="Arial" w:hAnsi="Arial"/>
    </w:rPr>
  </w:style>
  <w:style w:type="paragraph" w:styleId="Textoindependiente0">
    <w:name w:val="Texto independiente_0"/>
    <w:basedOn w:val="Normal"/>
    <w:qFormat/>
    <w:pPr>
      <w:widowControl/>
      <w:spacing w:lineRule="exact" w:line="276" w:before="0" w:after="120"/>
    </w:pPr>
    <w:rPr>
      <w:rFonts w:eastAsia="Times New Roman"/>
    </w:rPr>
  </w:style>
  <w:style w:type="paragraph" w:styleId="Encabezado10">
    <w:name w:val="Encabezado1_0"/>
    <w:basedOn w:val="Normal"/>
    <w:qFormat/>
    <w:pPr>
      <w:keepNext w:val="true"/>
      <w:widowControl/>
      <w:spacing w:lineRule="exact" w:line="276" w:before="240" w:after="120"/>
    </w:pPr>
    <w:rPr>
      <w:rFonts w:ascii="Arial" w:hAnsi="Arial" w:eastAsia="Mangal"/>
      <w:sz w:val="28"/>
      <w:szCs w:val="28"/>
    </w:rPr>
  </w:style>
  <w:style w:type="numbering" w:styleId="WW8Num1">
    <w:name w:val="WW8Num1"/>
    <w:qFormat/>
  </w:style>
  <w:style w:type="numbering" w:styleId="WW8Num24">
    <w:name w:val="WW8Num24"/>
    <w:qFormat/>
  </w:style>
  <w:style w:type="numbering" w:styleId="WW8Num21">
    <w:name w:val="WW8Num21"/>
    <w:qFormat/>
  </w:style>
  <w:style w:type="numbering" w:styleId="WW8Num25">
    <w:name w:val="WW8Num25"/>
    <w:qFormat/>
  </w:style>
  <w:style w:type="numbering" w:styleId="WW8Num12">
    <w:name w:val="WW8Num12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176</TotalTime>
  <Application>LibreOffice/6.4.3.2$Windows_X86_64 LibreOffice_project/747b5d0ebf89f41c860ec2a39efd7cb15b54f2d8</Application>
  <Pages>3</Pages>
  <Words>788</Words>
  <Characters>4166</Characters>
  <CharactersWithSpaces>4917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2021-12-02T09:56:15Z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