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sz w:val="22"/>
          <w:szCs w:val="22"/>
        </w:rPr>
        <w:t>28 de marzo de 2022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2022/3507K.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Lectura y aprobación, si procede, del borrador de acta de la sesi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 anterior, celebrada el día 28 de febrero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 ASESOR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JUR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DICA. Número: 2022/2547G.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Corrección error inicio modificación nº 1 del PGO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3. ASESOR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JU</w:t>
      </w:r>
      <w:r>
        <w:rPr>
          <w:rFonts w:ascii="IBM Plex Sans" w:hAnsi="IBM Plex Sans"/>
          <w:b w:val="false"/>
          <w:bCs w:val="false"/>
          <w:sz w:val="22"/>
          <w:szCs w:val="22"/>
        </w:rPr>
        <w:t>RÍDI</w:t>
      </w:r>
      <w:r>
        <w:rPr>
          <w:rFonts w:ascii="IBM Plex Sans" w:hAnsi="IBM Plex Sans"/>
          <w:b w:val="false"/>
          <w:bCs w:val="false"/>
          <w:sz w:val="22"/>
          <w:szCs w:val="22"/>
        </w:rPr>
        <w:t>CA. Número: 2022/2547G.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Solicitud de inicio evaluación ambiental estratégica simplificada de la modificación nº 1 del PGO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4.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2020/4795P.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Dación de cuenta informe Cuenta General 2019.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2022/1460K.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Dación de cuenta liquidación presupuesto 2021.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2022/331X.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Dación de cuenta incorporación remanentes de crédito de 2021 al ejercicio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7.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2022/3231K. No disponibilidad de créditos presupuesto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2022/3299C.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Modificación del presupuesto nº 3/2022.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 GEST</w:t>
      </w:r>
      <w:r>
        <w:rPr>
          <w:rFonts w:ascii="IBM Plex Sans" w:hAnsi="IBM Plex Sans"/>
          <w:b w:val="false"/>
          <w:bCs w:val="false"/>
          <w:sz w:val="22"/>
          <w:szCs w:val="22"/>
        </w:rPr>
        <w:t>IÓ</w:t>
      </w:r>
      <w:r>
        <w:rPr>
          <w:rFonts w:ascii="IBM Plex Sans" w:hAnsi="IBM Plex Sans"/>
          <w:b w:val="false"/>
          <w:bCs w:val="false"/>
          <w:sz w:val="22"/>
          <w:szCs w:val="22"/>
        </w:rPr>
        <w:t>N, RECAUDACI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 E INSPECCI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 DE TRIBUTOS. Número: 2021/15749Y.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Modificación Ordenanza IIVTNU.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10. ASESOR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JUR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DICA. Número: 2022/2419Z.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Mutación demanial para instalar puntos de recarga vehículos eléctricos.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11. </w:t>
      </w:r>
      <w:r>
        <w:rPr>
          <w:rFonts w:ascii="IBM Plex Sans" w:hAnsi="IBM Plex Sans"/>
          <w:b w:val="false"/>
          <w:bCs w:val="false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sz w:val="22"/>
          <w:szCs w:val="22"/>
        </w:rPr>
        <w:t>REA DE PLAYAS. Número: 2021/5265J.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Modificación Ordenanza uso y disfrute de playas.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12. </w:t>
      </w:r>
      <w:r>
        <w:rPr>
          <w:rFonts w:ascii="IBM Plex Sans" w:hAnsi="IBM Plex Sans"/>
          <w:b w:val="false"/>
          <w:bCs w:val="false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sz w:val="22"/>
          <w:szCs w:val="22"/>
        </w:rPr>
        <w:t>REA DE EDUCACI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 Número: 2022/3445M.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Propuesta apoyo CIFP Villa de Agüimes: ciclo formativo de grado medio dual "Instalación y Amueblamiento".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13.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2022/3481H.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Grupo Mixto (CC) limpieza arcenes GC-100.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14.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2022/3236A.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PSOE "Avenida perimetral de La Goleta".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15.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2022/2110G.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PSOE abolición prostitución.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16.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 Número: 2022/3460C.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RA “Creación servicio de geriatría en la zona básica de salud de Agüimes”.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17.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ÍA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GENERAL. Número: 2022/3605G.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RA "Por el derecho de autodeterminación del Pueblo Saharaui".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18. Dación de cuenta de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19.- Asuntos de la presidencia.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20.-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LibreOffice/6.4.3.2$Windows_X86_64 LibreOffice_project/747b5d0ebf89f41c860ec2a39efd7cb15b54f2d8</Application>
  <Pages>2</Pages>
  <Words>402</Words>
  <Characters>2347</Characters>
  <CharactersWithSpaces>2717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2022-03-23T21:15:47Z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