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IBM Plex Sans" w:hAnsi="IBM Plex Sans" w:cs="Verdana"/>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DON ANTONIO PATIÑO LÓPEZ, SECRETARIO GENERAL DEL ILUSTRE AYUNTAMIENTO DE LA VILLA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br/>
        <w:t>C E R T I F I C O: Que en el acta de la sesión extraordinaria del Pleno Corporativo, celebrada el día veintiuno de junio de dos mil diecinueve, se acordó, en el punto 8 del mismo, por quince votos a favor (R</w:t>
      </w:r>
      <w:r>
        <w:rPr>
          <w:rFonts w:cs="Verdana" w:ascii="IBM Plex Sans" w:hAnsi="IBM Plex Sans"/>
          <w:b w:val="false"/>
          <w:bCs w:val="false"/>
          <w:i w:val="false"/>
          <w:iCs w:val="false"/>
          <w:strike w:val="false"/>
          <w:dstrike w:val="false"/>
          <w:color w:val="000000"/>
          <w:sz w:val="22"/>
          <w:szCs w:val="22"/>
          <w:u w:val="none"/>
        </w:rPr>
        <w:t>oque Aguayro</w:t>
      </w:r>
      <w:r>
        <w:rPr>
          <w:rFonts w:cs="Verdana" w:ascii="IBM Plex Sans" w:hAnsi="IBM Plex Sans"/>
          <w:b w:val="false"/>
          <w:bCs w:val="false"/>
          <w:i w:val="false"/>
          <w:iCs w:val="false"/>
          <w:strike w:val="false"/>
          <w:dstrike w:val="false"/>
          <w:color w:val="000000"/>
          <w:sz w:val="22"/>
          <w:szCs w:val="22"/>
          <w:u w:val="none"/>
        </w:rPr>
        <w:t xml:space="preserve">) y cuatro abstenciones (PSOE, Grupo mixto-Ciudadanos) y a propuesta de Alcaldía entre otras, la siguiente delegación: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Verdana"/>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En base a lo estipulado en la disposición adicional segunda de la Ley 9/2017, de 8 de noviembre, de Contratos del Sector Público, por la que se transponen al ordenamiento jurídico español las Directivas del Parlamento Europeo y del Consejo 2014/23/UE y 2014/24/UE, de 26 de febrero de 2014, que literalmente dice: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1. Corresponden a los Alcaldes y a los Presidentes de las Entidades locales las competencias como órgano de contratación respecto de los contratos de obras, de suministro, de servicios, de gestión de servicios públicos, los contratos administrativos especiales, y los contratos privados cuando su importe no supere el 10 por 100 de los recursos ordinarios del presupuesto ni, en cualquier caso, la cuantía de seis millones de euros, incluidos los de carácter plurianual cuando </w:t>
      </w:r>
      <w:r>
        <w:rPr>
          <w:rFonts w:cs="Verdana" w:ascii="IBM Plex Sans" w:hAnsi="IBM Plex Sans"/>
          <w:b w:val="false"/>
          <w:bCs w:val="false"/>
          <w:i w:val="false"/>
          <w:iCs w:val="false"/>
          <w:strike w:val="false"/>
          <w:dstrike w:val="false"/>
          <w:color w:val="000000"/>
          <w:sz w:val="22"/>
          <w:szCs w:val="22"/>
          <w:u w:val="none"/>
        </w:rPr>
        <w:t>s</w:t>
      </w:r>
      <w:r>
        <w:rPr>
          <w:rFonts w:cs="Verdana" w:ascii="IBM Plex Sans" w:hAnsi="IBM Plex Sans"/>
          <w:b w:val="false"/>
          <w:bCs w:val="false"/>
          <w:i w:val="false"/>
          <w:iCs w:val="false"/>
          <w:strike w:val="false"/>
          <w:dstrike w:val="false"/>
          <w:color w:val="000000"/>
          <w:sz w:val="22"/>
          <w:szCs w:val="22"/>
          <w:u w:val="none"/>
        </w:rPr>
        <w:t>u duración no sea superior a cuatro años, siempre que el importe acumulado de todas sus anualidades no supere ni el porcentaje indicado, referido a los recursos ordinarios del presupuesto del primer ejercicio, ni la cuantía señalada.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Asimismo corresponde a los Alcaldes y a los Presidentes de las Entidades locales la adjudicación de concesiones sobre los bienes de las mismas y la adquisición de bienes inmuebles y derechos sujetos a la legislación patrimonial cuando su valor no supere el 10 por 100 de los recursos ordinarios del presupuesto ni el importe de tres millones de euros, así como la enajenación del patrimonio, cuando su valor no supere el porcentaje ni la cuantía indicados.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cs="Verdana"/>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2. Corresponde al Pleno las competencias como órgano de contratación respecto de los contratos no mencionados en el apartado anterior que celebre la Entidad local.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Asimismo corresponde al Pleno la adjudicación de concesiones sobre los bienes de la Corporación y la adquisición de bienes inmuebles y derechos sujetos a la legislación patrimonial así como la enajenación del patrimonio cuando no estén atribuidas al Alcalde o al Presidente, y de los bienes declarados de valor histórico o artístico cualquiera que sea su valor.”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Y en conformidad con lo estipulado  con el artículo 61 del mismo texto legal que afirma: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1. La representación de los entes, organismos y entidades del sector público en materia contractual corresponde a los órganos de contratación, unipersonales o colegiados que, en virtud de norma legal o reglamentaria o disposición estatutaria, tengan atribuida la facultad de celebrar contratos en su nombre.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2. Los órganos de contratación podrán delegar o desconcentrar sus competencias y facultades en esta materia con cumplimiento de las normas y formalidades aplicables en cada caso para la delegación o desconcentración de competencias, en el caso de que se trate de órganos administrativos, o para el otorgamiento de poderes, cuando se trate de órganos societarios o de una fundación.”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Se propone al pleno la delegación de esta facultad anterior, en la Junta de Gobierno Local, sin perjuicio de que la misma pueda ser restringida por legislación sectorial aplicable al caso.”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Por su parte el Sr Alcalde mediante resolución de Alcaldía nº2019/1563 de fecha 20 de junio de 2019, acordó entre otras la siguiente delegación: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br/>
        <w:t>“En base a lo estipulado en la disposición adicional segunda de Ley 9/2017, de 8 de noviembre, de Contratos del Sector Público, por la que se transponen al ordenamiento jurídico español las Directivas del Parlamento Europeo y del Consejo 2014/23/UE y 2014/24/UE, de 26 de febrero de</w:t>
        <w:br/>
        <w:t>2014, que literalmente dice: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cs="Verdana" w:ascii="IBM Plex Sans" w:hAnsi="IBM Plex Sans"/>
          <w:b w:val="false"/>
          <w:bCs w:val="false"/>
          <w:i w:val="false"/>
          <w:iCs w:val="false"/>
          <w:strike w:val="false"/>
          <w:dstrike w:val="false"/>
          <w:color w:val="000000"/>
          <w:sz w:val="22"/>
          <w:szCs w:val="22"/>
          <w:u w:val="none"/>
        </w:rPr>
        <w:t>“</w:t>
      </w:r>
      <w:r>
        <w:rPr>
          <w:rFonts w:cs="Verdana" w:ascii="IBM Plex Sans" w:hAnsi="IBM Plex Sans"/>
          <w:b w:val="false"/>
          <w:bCs w:val="false"/>
          <w:i w:val="false"/>
          <w:iCs w:val="false"/>
          <w:strike w:val="false"/>
          <w:dstrike w:val="false"/>
          <w:color w:val="000000"/>
          <w:sz w:val="22"/>
          <w:szCs w:val="22"/>
          <w:u w:val="none"/>
        </w:rPr>
        <w:t xml:space="preserve">1. Corresponden a los Alcaldes y a los Presidentes de las Entidades Locales las competencias como órgano de contratación respecto de los </w:t>
      </w:r>
      <w:r>
        <w:rPr>
          <w:rFonts w:ascii="IBM Plex Sans" w:hAnsi="IBM Plex Sans"/>
          <w:b w:val="false"/>
          <w:bCs w:val="false"/>
          <w:i w:val="false"/>
          <w:iCs w:val="false"/>
          <w:strike w:val="false"/>
          <w:dstrike w:val="false"/>
          <w:color w:val="000000"/>
          <w:sz w:val="22"/>
          <w:szCs w:val="22"/>
          <w:u w:val="none"/>
        </w:rPr>
        <w:t>contratos de obras, de suministro, de servicios, los 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9. En las entidades locales corresponde a los Alcaldes y a los Presidentes de las Entidades Locales la competencia para 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no supere el 10 por ciento de los recursos ordinarios del presupuesto ni el importe de tres millones de euros, así como la enajenación del patrimonio, cuando su valor no supere el porcentaje ni la cuantía indicados.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Y en conformidad con lo estipulado con el artículo 61 del mismo texto legal que afirma: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w:t>
      </w:r>
      <w:r>
        <w:rPr>
          <w:rFonts w:ascii="IBM Plex Sans" w:hAnsi="IBM Plex Sans"/>
          <w:b w:val="false"/>
          <w:bCs w:val="false"/>
          <w:i w:val="false"/>
          <w:iCs w:val="false"/>
          <w:strike w:val="false"/>
          <w:dstrike w:val="false"/>
          <w:color w:val="000000"/>
          <w:sz w:val="22"/>
          <w:szCs w:val="22"/>
          <w:u w:val="none"/>
        </w:rPr>
        <w:t>1. La representación de los entes, organismos y entidades del sector público en materia contractual corresponde a los órganos de contratación, unipersonales o colegiados que, en virtud de norma legal o reglamentaria o disposición estatutaria, tengan atribuida la facultad de celebrar contratos en su nombre.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Los órganos de contratación podrán delegar o desconcentrar sus competencias y facultades en esta materia con cumplimiento de las normas y formalidades aplicables en cada caso para la delegación o desconcentración de competencias, en el caso de que se trate de órganos administrativos, o para el otorgamiento de poderes, cuando se trate de órganos societarios o de una fundación.”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br/>
        <w:t xml:space="preserve">En base a lo anteriormente expuesto, </w:t>
      </w:r>
      <w:r>
        <w:rPr>
          <w:rFonts w:ascii="IBM Plex Sans" w:hAnsi="IBM Plex Sans"/>
          <w:b w:val="false"/>
          <w:bCs w:val="false"/>
          <w:i w:val="false"/>
          <w:iCs w:val="false"/>
          <w:strike w:val="false"/>
          <w:dstrike w:val="false"/>
          <w:color w:val="000000"/>
          <w:sz w:val="22"/>
          <w:szCs w:val="22"/>
          <w:u w:val="none"/>
        </w:rPr>
        <w:t>e</w:t>
      </w:r>
      <w:r>
        <w:rPr>
          <w:rFonts w:ascii="IBM Plex Sans" w:hAnsi="IBM Plex Sans"/>
          <w:b w:val="false"/>
          <w:bCs w:val="false"/>
          <w:i w:val="false"/>
          <w:iCs w:val="false"/>
          <w:strike w:val="false"/>
          <w:dstrike w:val="false"/>
          <w:color w:val="000000"/>
          <w:sz w:val="22"/>
          <w:szCs w:val="22"/>
          <w:u w:val="none"/>
        </w:rPr>
        <w:t>sta Alcaldía resuelve delegar en la Junta de Gobierno Local la autorización de gastos como órgano de contratación respecto de los contratos de obras por importe superior a 40.000 €, y de suministro, de servicios, los contratos de concesión de obras, los contratos de concesión de servicios y los contratos administrativos especiales, todos estos, cuando su importe supere 15.000 € de valor estimado y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br/>
        <w:t>Así mismo acuerdo delegar en la Junta de Gobierno Local la celebración de los contratos privados, así como la adjudicación de concesiones sobre los bienes de las mismas y la adquisición de bienes inmuebles y derechos sujetos a la legislación patrimonial cuando el presupuesto base de licitación, en los términos definidos en el artículo 100.1 sea superior a 15.000 € y no supere el 10 por 100 de los recursos ordinarios del presupuesto ni el importe de tres millones de euros, así como la enajenación del patrimonio, cuando su valor no supere el porcentaje ni la cuantía indicados.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br/>
        <w:t xml:space="preserve">Por su parte resuelvo delegar en la concejal Doña María Suarez Vera la autorización de gastos como órgano de contratación respecto de los contratos de obras por importe inferior a 40.000 €, y de suministro, de servicios, los contratos de concesión de obras, los contratos de concesión de servicios y los contratos administrativos especiales, todos estos, cuando su importe no supere 15.000 € de valor estimado, así mismo, delegar la celebración de los contratos privados, así como la adjudicación de concesiones sobre los bienes de las mismas y la adquisición de bienes inmuebles y derechos sujetos a la legislación patrimonial cuando el presupuesto base de licitación no sea superior a 15.000 €.”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sans-serif" w:hAnsi="sans-serif"/>
          <w:b w:val="false"/>
          <w:bCs w:val="false"/>
          <w:i w:val="false"/>
          <w:iCs w:val="false"/>
          <w:strike w:val="false"/>
          <w:dstrike w:val="false"/>
          <w:color w:val="000000"/>
          <w:sz w:val="21"/>
          <w:szCs w:val="22"/>
          <w:u w:val="none"/>
        </w:rPr>
        <w:t>Y</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para</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que</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así</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conste</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y</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surta</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los</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efectos</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oportunos,</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expido</w:t>
      </w:r>
      <w:r>
        <w:rPr>
          <w:rFonts w:ascii="IBM Plex Sans" w:hAnsi="IBM Plex Sans"/>
          <w:b w:val="false"/>
          <w:bCs w:val="false"/>
          <w:i w:val="false"/>
          <w:iCs w:val="false"/>
          <w:strike w:val="false"/>
          <w:dstrike w:val="false"/>
          <w:color w:val="000000"/>
          <w:sz w:val="22"/>
          <w:szCs w:val="22"/>
          <w:u w:val="none"/>
        </w:rPr>
        <w:t xml:space="preserve"> </w:t>
      </w:r>
      <w:r>
        <w:rPr>
          <w:rFonts w:ascii="sans-serif" w:hAnsi="sans-serif"/>
          <w:b w:val="false"/>
          <w:bCs w:val="false"/>
          <w:i w:val="false"/>
          <w:iCs w:val="false"/>
          <w:strike w:val="false"/>
          <w:dstrike w:val="false"/>
          <w:color w:val="000000"/>
          <w:sz w:val="21"/>
          <w:szCs w:val="22"/>
          <w:u w:val="none"/>
        </w:rPr>
        <w:t xml:space="preserve">la presente de orden y con el visto bueno del Sr. Alcalde-Presidente. </w:t>
      </w:r>
      <w:r>
        <w:rPr>
          <w:rFonts w:ascii="sans-serif" w:hAnsi="sans-serif"/>
          <w:b w:val="false"/>
          <w:bCs w:val="false"/>
          <w:i w:val="false"/>
          <w:iCs w:val="false"/>
          <w:strike w:val="false"/>
          <w:dstrike w:val="false"/>
          <w:color w:val="000000"/>
          <w:sz w:val="21"/>
          <w:szCs w:val="22"/>
          <w:u w:val="none"/>
        </w:rPr>
        <w:t>30 de julio de 2020.</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br/>
      </w:r>
      <w:r>
        <w:rPr>
          <w:rFonts w:ascii="sans-serif" w:hAnsi="sans-serif"/>
          <w:b w:val="false"/>
          <w:bCs w:val="false"/>
          <w:i w:val="false"/>
          <w:iCs w:val="false"/>
          <w:strike w:val="false"/>
          <w:dstrike w:val="false"/>
          <w:color w:val="000000"/>
          <w:sz w:val="20"/>
          <w:szCs w:val="22"/>
          <w:u w:val="none"/>
        </w:rPr>
        <w:t>Vº Bº</w:t>
      </w:r>
      <w:r>
        <w:rPr>
          <w:rFont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rPr>
      </w:pPr>
      <w:r>
        <w:rPr>
          <w:rFonts w:ascii="IBM Plex Sans" w:hAnsi="IBM Plex Sans"/>
          <w:b w:val="false"/>
          <w:bCs w:val="false"/>
          <w:i w:val="false"/>
          <w:iCs w:val="false"/>
          <w:strike w:val="false"/>
          <w:dstrike w:val="false"/>
          <w:color w:val="000000"/>
          <w:sz w:val="22"/>
          <w:szCs w:val="22"/>
          <w:u w:val="none"/>
        </w:rPr>
        <w:t>El Alcalde</w:t>
        <w:tab/>
        <w:tab/>
        <w:tab/>
        <w:tab/>
        <w:tab/>
        <w:tab/>
        <w:tab/>
        <w:tab/>
        <w:tab/>
        <w:t>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IBM Plex Sans">
    <w:charset w:val="00"/>
    <w:family w:val="swiss"/>
    <w:pitch w:val="variable"/>
  </w:font>
  <w:font w:name="sans-serif">
    <w:altName w:val="Arial"/>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3</Pages>
  <Words>1348</Words>
  <Characters>7042</Characters>
  <CharactersWithSpaces>8388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2022-10-26T07:42:48Z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