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VEINTISIETE</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FEBR</w:t>
      </w:r>
      <w:r>
        <w:rPr>
          <w:rFonts w:cs="Roboto Slab" w:ascii="Roboto Slab" w:hAnsi="Roboto Slab"/>
          <w:b/>
          <w:bCs/>
          <w:i w:val="false"/>
          <w:iCs w:val="false"/>
          <w:color w:val="000080"/>
          <w:sz w:val="36"/>
          <w:szCs w:val="36"/>
          <w:u w:val="none"/>
        </w:rPr>
        <w:t>ERO</w:t>
      </w:r>
      <w:r>
        <w:rPr>
          <w:rFonts w:cs="Roboto Slab" w:ascii="Roboto Slab" w:hAnsi="Roboto Slab"/>
          <w:b/>
          <w:bCs/>
          <w:i w:val="false"/>
          <w:iCs w:val="false"/>
          <w:color w:val="000080"/>
          <w:sz w:val="36"/>
          <w:szCs w:val="36"/>
          <w:u w:val="none"/>
        </w:rPr>
        <w:t xml:space="preserve"> DE DOS MIL VEINTI</w:t>
      </w:r>
      <w:r>
        <w:rPr>
          <w:rFonts w:cs="Roboto Slab" w:ascii="Roboto Slab" w:hAnsi="Roboto Slab"/>
          <w:b/>
          <w:bCs/>
          <w:i w:val="false"/>
          <w:iCs w:val="false"/>
          <w:color w:val="000080"/>
          <w:sz w:val="36"/>
          <w:szCs w:val="36"/>
          <w:u w:val="none"/>
        </w:rPr>
        <w:t>TRÉ</w:t>
      </w:r>
      <w:r>
        <w:rPr>
          <w:rFonts w:cs="Roboto Slab" w:ascii="Roboto Slab" w:hAnsi="Roboto Slab"/>
          <w:b/>
          <w:bCs/>
          <w:i w:val="false"/>
          <w:iCs w:val="false"/>
          <w:color w:val="000080"/>
          <w:sz w:val="36"/>
          <w:szCs w:val="36"/>
          <w:u w:val="none"/>
        </w:rPr>
        <w:t>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1. SECRETARÍA GENERAL. NÚMERO: 2023/2489X.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 ACTA DE LA SESIÓN ANTERIOR, CELEBRADA EL DÍA 30 DE ENERO DE 2023.</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por el Sr. Alcalde del borrador de acta de la sesión anterior, celebrada el día 30 de enero de 2023, el mismo es aprobado en sus literales términos, por unanimidad de los veinte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Times New Roman" w:ascii="IBM Plex Sans" w:hAnsi="IBM Plex Sans"/>
          <w:b w:val="false"/>
          <w:bCs w:val="false"/>
          <w:i w:val="false"/>
          <w:iCs w:val="false"/>
          <w:strike w:val="false"/>
          <w:dstrike w:val="false"/>
          <w:color w:val="000000"/>
          <w:sz w:val="22"/>
          <w:szCs w:val="22"/>
          <w:u w:val="none"/>
          <w:lang w:eastAsia="en-US" w:bidi="ar-SA"/>
        </w:rPr>
        <w:t>NOTA: El Sr. Alcalde propone cambiar el orden del día, en deferencia a las personas que han venido en representación de la Plataforma Ciudadana Reivindicativa, para que el Centro Histórico de Las Palmas de Gran Canaria sea declarado Patrimonio Mundial por la UNESCO.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8. SECRETARÍA GENERAL. NÚMERO: 2023/2356S.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DECLARACIÓN INSTITUCIONAL “PARA QUE EL CENTRO HISTÓRICO DE LAS PALMAS DE GRAN CANARIA SEA DECLARADO PATRIMONIO MUNDIAL POR LA UNESCO”.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declaración institucional de apoyo a la Plataforma Ciudadana Reivindicativa para que el Centro Histórico de Las Palmas de Gran Canaria sea declarado Patrimonio Mundial  por la UNESCO, el mismo es aprobado por unanimidad de los veinte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2. ESTADÍSTICA. NÚMERO: 2023/2552G.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CIFRA DE POBLACIÓN PADRÓN MUNICIPAL 1/1/2022.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El Sr. Alcalde da cuenta al Pleno, para su conocimiento, que en la Comisión Informativa de Hacienda, Especial de Cuentas y Administración General, celebrada el día 23 de febrero de 2023, se trató el tema de la cifra de población referida al 1 de enero de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Times New Roman" w:ascii="IBM Plex Sans" w:hAnsi="IBM Plex Sans"/>
          <w:b w:val="false"/>
          <w:bCs w:val="false"/>
          <w:i w:val="false"/>
          <w:iCs w:val="false"/>
          <w:strike w:val="false"/>
          <w:dstrike w:val="false"/>
          <w:color w:val="000000"/>
          <w:sz w:val="22"/>
          <w:szCs w:val="22"/>
          <w:u w:val="none"/>
          <w:lang w:eastAsia="en-US" w:bidi="ar-SA"/>
        </w:rPr>
        <w:t>A continuación se da cuenta de la propuesta de la encargada del área de Estadística, de fecha 16 de febrero de 2023, que en resumen dice:</w:t>
      </w:r>
      <w:r>
        <w:rPr>
          <w:rFonts w:cs="Verdana-Bold" w:ascii="IBM Plex Sans" w:hAnsi="IBM Plex Sans"/>
          <w:b w:val="false"/>
          <w:bCs w:val="false"/>
          <w:i w:val="false"/>
          <w:iCs w:val="false"/>
          <w:strike w:val="false"/>
          <w:dstrike w:val="false"/>
          <w:color w:val="000000"/>
          <w:sz w:val="22"/>
          <w:szCs w:val="22"/>
          <w:u w:val="none"/>
          <w:lang w:bidi="ar-SA"/>
        </w:rPr>
        <w:tab/>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 w:ascii="IBM Plex Sans" w:hAnsi="IBM Plex Sans"/>
          <w:b w:val="false"/>
          <w:bCs w:val="false"/>
          <w:i w:val="false"/>
          <w:iCs w:val="false"/>
          <w:strike w:val="false"/>
          <w:dstrike w:val="false"/>
          <w:color w:val="000000"/>
          <w:sz w:val="22"/>
          <w:szCs w:val="22"/>
          <w:u w:val="none"/>
        </w:rPr>
        <w:t xml:space="preserve">Una vez finalizado el procedimiento para la obtención de la propuesta de cifras oficiales de población previsto en la Resolución de 20 de julio de 2018, de la Presidenta del Instituto Nacional de Estadística y del Director General de Cooperación Autonómica y Local, la cifra para nuestro municipio que ha sido  elevada al Gobierno a los efectos de su aprobación, resultante de la revisión del Padrón municipal de nuestro Municipio referida al </w:t>
      </w:r>
      <w:r>
        <w:rPr>
          <w:rFonts w:cs="Verdana-Bold" w:ascii="IBM Plex Sans" w:hAnsi="IBM Plex Sans"/>
          <w:b w:val="false"/>
          <w:bCs w:val="false"/>
          <w:i w:val="false"/>
          <w:iCs w:val="false"/>
          <w:strike w:val="false"/>
          <w:dstrike w:val="false"/>
          <w:color w:val="000000"/>
          <w:sz w:val="22"/>
          <w:szCs w:val="22"/>
          <w:u w:val="none"/>
        </w:rPr>
        <w:t>1 de enero de 2022</w:t>
      </w:r>
      <w:r>
        <w:rPr>
          <w:rFonts w:cs="Verdana" w:ascii="IBM Plex Sans" w:hAnsi="IBM Plex Sans"/>
          <w:b w:val="false"/>
          <w:bCs w:val="false"/>
          <w:i w:val="false"/>
          <w:iCs w:val="false"/>
          <w:strike w:val="false"/>
          <w:dstrike w:val="false"/>
          <w:color w:val="000000"/>
          <w:sz w:val="22"/>
          <w:szCs w:val="22"/>
          <w:u w:val="none"/>
        </w:rPr>
        <w:t xml:space="preserve">, es la siguiente: </w:t>
      </w:r>
      <w:r>
        <w:rPr>
          <w:rFonts w:cs="Verdana-Bold" w:ascii="IBM Plex Sans" w:hAnsi="IBM Plex Sans"/>
          <w:b w:val="false"/>
          <w:bCs w:val="false"/>
          <w:i w:val="false"/>
          <w:iCs w:val="false"/>
          <w:strike w:val="false"/>
          <w:dstrike w:val="false"/>
          <w:color w:val="000000"/>
          <w:sz w:val="22"/>
          <w:szCs w:val="22"/>
          <w:u w:val="none"/>
        </w:rPr>
        <w:t>TREINTA Y DOS MIL SESENTA Y SIETE (32.067).</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FUNDACIÓN DE MEDIOS DE COMUNICACIÓN. NÚMERO: 2022/14810Y.</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SOLICITUD DE COMPATIBILIDAD TRABAJADOR FUNDACIÓN MEDIOS DE COMUNICACIÓN.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compatibilidad de una trabajadora de la Fundación de Medios de Comunicación, el mismo es aprobado por unanimidad de los veinte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4. INTERVENCIÓN. NÚMERO: 2023/1056A.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EJECUCIÓN PRESUPUESTARIA 4º TRIMESTRE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5. TESORERÍA. NÚMERO: 2023/479P.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MOROSIDAD Y PERIODO MEDIO DE PAGO 4º TRIMESTRE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da cuenta.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6. INTERVENCIÓN. NÚMERO: 2023/1524B.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RECONOCIMIENTO EXTRAJUDICIAL DE CRÉDITO 1/2023.</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aprobación del reconocimiento de créditos 1/2023,  el mismo es aprobado con quince votos a favor (R</w:t>
      </w:r>
      <w:r>
        <w:rPr>
          <w:rFonts w:ascii="IBM Plex Sans" w:hAnsi="IBM Plex Sans"/>
          <w:b w:val="false"/>
          <w:bCs w:val="false"/>
          <w:i w:val="false"/>
          <w:iCs w:val="false"/>
          <w:strike w:val="false"/>
          <w:dstrike w:val="false"/>
          <w:color w:val="000000"/>
          <w:sz w:val="22"/>
          <w:szCs w:val="22"/>
          <w:u w:val="none"/>
        </w:rPr>
        <w:t xml:space="preserve">oque </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guayro</w:t>
      </w:r>
      <w:r>
        <w:rPr>
          <w:rFonts w:ascii="IBM Plex Sans" w:hAnsi="IBM Plex Sans"/>
          <w:b w:val="false"/>
          <w:bCs w:val="false"/>
          <w:i w:val="false"/>
          <w:iCs w:val="false"/>
          <w:strike w:val="false"/>
          <w:dstrike w:val="false"/>
          <w:color w:val="000000"/>
          <w:sz w:val="22"/>
          <w:szCs w:val="22"/>
          <w:u w:val="none"/>
        </w:rPr>
        <w:t>) y cinco abstenciones (PSOE y Grupo Mixto: Cs y CC).</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7. SECRETARÍA GENERAL. NÚMERO: 2023/2352B.</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DECLARACIÓN INSTITUCIONAL “8 DE MARZO, DÍA INTERNACIONAL DE LA MUJER”.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declaración institucional por el 8 de marzo, día internacional de las mujeres, el mismo es aprobado por unanimidad de los veinte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NOTA: El Punto 8, se trató al principio, según la explicación dada por el Sr. Alcalde.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9. CONCEJALÍAS. NÚMERO: 2023/2471S.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PROPUESTA DE APOYO A LOS AYUNTAMIENTOS DE INGENIO Y TELDE EN PRO DE LA DELIMITACIÓN DEFINITIVA DEL TRAZADO DE LA 3ª PISTA DEL AEROPUERTO DE GRAN CANARIA.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propuesta de apoyo a los Ayuntamientos de Ingenio y Telde, en pro de la delimitación definitiva del trazado de la 3ª pista del aeropuerto de Gran Canaria, el mismo es aprobado por unanimidad, de los veinte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10. SECRETARÍA GENERAL. NÚMERO: 2023/2465D.</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MOCIÓN DEL GRUPO MIXTO (Cs) ACTUALIZACIÓN DE LA ORDENANZA MUNICIPAL DE LA SANIDAD MEDIOAMBIENTAL EN EL MEDIO AGRÍCOLA.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Sometido a votación el punto referente a la moción del Grupo Mixto (Cs) sobre actualización de la Ordenanza Municipal Reguladora de la Sanidad Medioambiental en el medio agrícola, el mismo es aprobado por unanimidad de los veinte asistentes.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11. DACIÓN DE CUENTA DECRETOS DE LA ALCALDÍA, ACTAS DE LA JUNTA DE GOBIERNO LOCAL Y ACTAS DE LA JUNTA GENERAL DE LA MANCOMUNIDAD.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Times New Roman" w:ascii="IBM Plex Sans" w:hAnsi="IBM Plex Sans"/>
          <w:b w:val="false"/>
          <w:bCs w:val="false"/>
          <w:i w:val="false"/>
          <w:iCs w:val="false"/>
          <w:strike w:val="false"/>
          <w:dstrike w:val="false"/>
          <w:color w:val="000000"/>
          <w:sz w:val="22"/>
          <w:szCs w:val="22"/>
          <w:u w:val="none"/>
          <w:lang w:eastAsia="en-US" w:bidi="ar-SA"/>
        </w:rPr>
        <w:t>El Sr. Alcalde</w:t>
      </w:r>
      <w:r>
        <w:rPr>
          <w:rFonts w:cs="Verdana" w:ascii="IBM Plex Sans" w:hAnsi="IBM Plex Sans"/>
          <w:b w:val="false"/>
          <w:bCs w:val="false"/>
          <w:i w:val="false"/>
          <w:iCs w:val="false"/>
          <w:strike w:val="false"/>
          <w:dstrike w:val="false"/>
          <w:color w:val="000000"/>
          <w:sz w:val="22"/>
          <w:szCs w:val="22"/>
          <w:u w:val="none"/>
        </w:rPr>
        <w:t xml:space="preserve"> da cuenta del acta de la Junta de Gobierno Local, celebrada el día 16 de enero de 2023, y de los Decretos de la Alcaldía desde el 2023/100 al 2023/595.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Asimismo, se da cuenta del acta de la Junta General de la Mancomunidad de fecha 19 de diciembre de 2022.</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IBM Plex Sans">
    <w:charset w:val="00"/>
    <w:family w:val="roman"/>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Roboto Slab">
    <w:charset w:val="00"/>
    <w:family w:val="swiss"/>
    <w:pitch w:val="variable"/>
  </w:font>
  <w:font w:name="Roboto Slab">
    <w:charset w:val="00"/>
    <w:family w:val="roman"/>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-1056640</wp:posOffset>
          </wp:positionH>
          <wp:positionV relativeFrom="paragraph">
            <wp:posOffset>-425450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CuerpodeltextoExact">
    <w:name w:val="Cuerpo del texto Exact"/>
    <w:qFormat/>
    <w:rPr>
      <w:rFonts w:ascii="Tahoma" w:hAnsi="Tahoma" w:eastAsia="Tahoma"/>
      <w:b w:val="false"/>
      <w:bCs w:val="false"/>
      <w:i w:val="false"/>
      <w:iCs w:val="false"/>
      <w:caps w:val="false"/>
      <w:smallCaps w:val="false"/>
      <w:strike w:val="false"/>
      <w:dstrike w:val="false"/>
      <w:spacing w:val="-2"/>
      <w:sz w:val="20"/>
      <w:szCs w:val="20"/>
      <w:u w:val="none"/>
    </w:rPr>
  </w:style>
  <w:style w:type="character" w:styleId="FontStyle25">
    <w:name w:val="Font Style25"/>
    <w:qFormat/>
    <w:rPr>
      <w:rFonts w:ascii="Bookman Old Style" w:hAnsi="Bookman Old Style" w:eastAsia="Bookman Old Style"/>
      <w:b/>
      <w:bCs/>
      <w:i/>
      <w:iCs/>
      <w:color w:val="000000"/>
      <w:sz w:val="22"/>
      <w:szCs w:val="22"/>
    </w:rPr>
  </w:style>
  <w:style w:type="character" w:styleId="FontStyle24">
    <w:name w:val="Font Style24"/>
    <w:qFormat/>
    <w:rPr>
      <w:rFonts w:ascii="Bookman Old Style" w:hAnsi="Bookman Old Style" w:eastAsia="Bookman Old Style"/>
      <w:b/>
      <w:bCs/>
      <w:color w:val="000000"/>
      <w:sz w:val="22"/>
      <w:szCs w:val="22"/>
    </w:rPr>
  </w:style>
  <w:style w:type="character" w:styleId="Hgkelc">
    <w:name w:val="hgkelc"/>
    <w:qFormat/>
    <w:rPr/>
  </w:style>
  <w:style w:type="character" w:styleId="Markedcontent">
    <w:name w:val="markedcontent"/>
    <w:qFormat/>
    <w:rPr/>
  </w:style>
  <w:style w:type="character" w:styleId="Anothrefnottabindex">
    <w:name w:val="a_not([|href])_not([|tabindex])"/>
    <w:qFormat/>
    <w:rPr/>
  </w:style>
  <w:style w:type="character" w:styleId="Strong">
    <w:name w:val="strong"/>
    <w:qFormat/>
    <w:rPr>
      <w:b/>
    </w:rPr>
  </w:style>
  <w:style w:type="character" w:styleId="Documentoa">
    <w:name w:val="documento_a"/>
    <w:qFormat/>
    <w:rPr>
      <w:color w:val="808CBC"/>
    </w:rPr>
  </w:style>
  <w:style w:type="character" w:styleId="WW8NumSt41z0">
    <w:name w:val="WW8NumSt41z0"/>
    <w:qFormat/>
    <w:rPr>
      <w:rFonts w:eastAsia="Arial Unicode MS"/>
      <w:caps w:val="false"/>
      <w:smallCaps w:val="false"/>
      <w:strike w:val="false"/>
      <w:dstrike w:val="false"/>
      <w:outline w:val="false"/>
      <w:spacing w:val="0"/>
      <w:w w:val="100"/>
      <w:kern w:val="0"/>
      <w:szCs w:val="29"/>
      <w:lang w:eastAsia="es-ES_tradnl"/>
    </w:rPr>
  </w:style>
  <w:style w:type="character" w:styleId="WW8NumSt40z0">
    <w:name w:val="WW8NumSt40z0"/>
    <w:qFormat/>
    <w:rPr>
      <w:rFonts w:eastAsia="Times New Roman"/>
      <w:iCs/>
      <w:caps w:val="false"/>
      <w:smallCaps w:val="false"/>
      <w:strike w:val="false"/>
      <w:dstrike w:val="false"/>
      <w:outline w:val="false"/>
      <w:spacing w:val="0"/>
      <w:w w:val="100"/>
      <w:kern w:val="0"/>
    </w:rPr>
  </w:style>
  <w:style w:type="character" w:styleId="Ninguno">
    <w:name w:val="Ninguno"/>
    <w:qFormat/>
    <w:rPr>
      <w:lang w:val="es-ES_tradnl"/>
    </w:rPr>
  </w:style>
  <w:style w:type="character" w:styleId="WW8Num46z1">
    <w:name w:val="WW8Num46z1"/>
    <w:qFormat/>
    <w:rPr>
      <w:rFonts w:ascii="Courier New" w:hAnsi="Courier New" w:eastAsia="Courier New"/>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rFonts w:ascii="IBM Plex Sans" w:hAnsi="IBM Plex Sans" w:eastAsia="Tunga"/>
      <w:sz w:val="22"/>
      <w:szCs w:val="22"/>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rFonts w:ascii="IBM Plex Sans" w:hAnsi="IBM Plex Sans" w:eastAsia="Tunga"/>
      <w:sz w:val="22"/>
      <w:szCs w:val="22"/>
    </w:rPr>
  </w:style>
  <w:style w:type="character" w:styleId="WW8Num50z0">
    <w:name w:val="WW8Num50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paragraph" w:styleId="Prrafodelista0">
    <w:name w:val="Párrafo de lista_0"/>
    <w:basedOn w:val="Normal"/>
    <w:qFormat/>
    <w:pPr>
      <w:ind w:left="196" w:right="0" w:hanging="352"/>
    </w:pPr>
    <w:rPr>
      <w:rFonts w:ascii="Arial" w:hAnsi="Arial"/>
    </w:rPr>
  </w:style>
  <w:style w:type="paragraph" w:styleId="Lista0">
    <w:name w:val="Lista_0"/>
    <w:qFormat/>
    <w:pPr>
      <w:widowControl/>
      <w:kinsoku w:val="true"/>
      <w:overflowPunct w:val="true"/>
      <w:autoSpaceDE w:val="true"/>
      <w:bidi w:val="0"/>
      <w:spacing w:lineRule="exact" w:line="276" w:before="0" w:after="120"/>
    </w:pPr>
    <w:rPr>
      <w:rFonts w:eastAsia="Mangal" w:ascii="Liberation Serif" w:hAnsi="Liberation Serif" w:cs="Arial"/>
      <w:color w:val="auto"/>
      <w:sz w:val="22"/>
      <w:szCs w:val="22"/>
      <w:lang w:val="es-ES" w:eastAsia="zh-CN" w:bidi="hi-IN"/>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paragraph" w:styleId="Style31">
    <w:name w:val="Style3"/>
    <w:basedOn w:val="Normal"/>
    <w:qFormat/>
    <w:pPr/>
    <w:rPr>
      <w:rFonts w:ascii="Candara" w:hAnsi="Candara" w:eastAsia="Candara"/>
    </w:rPr>
  </w:style>
  <w:style w:type="paragraph" w:styleId="Simpleizquierda">
    <w:name w:val="simple izquierda"/>
    <w:basedOn w:val="Normal"/>
    <w:qFormat/>
    <w:pPr>
      <w:widowControl/>
      <w:spacing w:before="280" w:after="280"/>
    </w:pPr>
    <w:rPr>
      <w:rFonts w:ascii="Times New Roman" w:hAnsi="Times New Roman" w:eastAsia="Times New Roman"/>
    </w:rPr>
  </w:style>
  <w:style w:type="paragraph" w:styleId="Any">
    <w:name w:val="any"/>
    <w:basedOn w:val="Normal"/>
    <w:qFormat/>
    <w:pPr>
      <w:widowControl/>
    </w:pPr>
    <w:rPr>
      <w:rFonts w:ascii="Times New Roman" w:hAnsi="Times New Roman" w:eastAsia="Times New Roman"/>
    </w:rPr>
  </w:style>
  <w:style w:type="paragraph" w:styleId="Contentdocumentsp">
    <w:name w:val="content-documents_p"/>
    <w:basedOn w:val="Normal"/>
    <w:qFormat/>
    <w:pPr>
      <w:widowControl/>
    </w:pPr>
    <w:rPr>
      <w:rFonts w:ascii="Times New Roman" w:hAnsi="Times New Roman" w:eastAsia="Times New Roman"/>
    </w:rPr>
  </w:style>
  <w:style w:type="paragraph" w:styleId="NormalWeb1">
    <w:name w:val="Normal (Web)1"/>
    <w:qFormat/>
    <w:pPr>
      <w:widowControl/>
      <w:suppressAutoHyphens w:val="true"/>
      <w:kinsoku w:val="true"/>
      <w:overflowPunct w:val="true"/>
      <w:autoSpaceDE w:val="true"/>
      <w:bidi w:val="0"/>
      <w:spacing w:before="100" w:after="119"/>
      <w:jc w:val="left"/>
    </w:pPr>
    <w:rPr>
      <w:rFonts w:ascii="Times New Roman" w:hAnsi="Times New Roman" w:eastAsia="Arial Unicode MS" w:cs="Liberation Serif"/>
      <w:color w:val="000000"/>
      <w:kern w:val="2"/>
      <w:sz w:val="24"/>
      <w:szCs w:val="24"/>
      <w:lang w:val="es-ES_tradnl" w:eastAsia="zh-CN" w:bidi="hi-IN"/>
    </w:rPr>
  </w:style>
  <w:style w:type="paragraph" w:styleId="Heading11">
    <w:name w:val="Heading 11"/>
    <w:basedOn w:val="Normal"/>
    <w:qFormat/>
    <w:pPr>
      <w:spacing w:before="217" w:after="0"/>
      <w:ind w:left="101" w:right="0" w:hanging="0"/>
    </w:pPr>
    <w:rPr>
      <w:rFonts w:ascii="Arial" w:hAnsi="Arial"/>
      <w:b/>
      <w:bCs/>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312</TotalTime>
  <Application>LibreOffice/6.4.3.2$Windows_X86_64 LibreOffice_project/747b5d0ebf89f41c860ec2a39efd7cb15b54f2d8</Application>
  <Pages>3</Pages>
  <Words>747</Words>
  <Characters>3862</Characters>
  <CharactersWithSpaces>4582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2023-03-30T13:52:04Z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