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w:t>
      </w:r>
      <w:r>
        <w:rPr>
          <w:rFonts w:eastAsia="Times New Roman" w:cs="Roboto Slab" w:ascii="Roboto Slab" w:hAnsi="Roboto Slab"/>
          <w:b/>
          <w:bCs/>
          <w:i w:val="false"/>
          <w:iCs w:val="false"/>
          <w:color w:val="000080"/>
          <w:kern w:val="2"/>
          <w:sz w:val="36"/>
          <w:szCs w:val="36"/>
          <w:u w:val="none"/>
          <w:lang w:val="es-ES" w:eastAsia="ar-SA" w:bidi="ar-SA"/>
        </w:rPr>
        <w:t>SIETE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MARZO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TRÉ</w:t>
      </w:r>
      <w:r>
        <w:rPr>
          <w:rFonts w:cs="Roboto Slab" w:ascii="Roboto Slab" w:hAnsi="Roboto Slab"/>
          <w:b/>
          <w:bCs/>
          <w:i w:val="false"/>
          <w:iCs w:val="false"/>
          <w:color w:val="000080"/>
          <w:sz w:val="36"/>
          <w:szCs w:val="36"/>
          <w:u w:val="none"/>
        </w:rPr>
        <w:t>S</w:t>
      </w:r>
    </w:p>
    <w:p>
      <w:pPr>
        <w:pStyle w:val="Normal"/>
        <w:widowControl/>
        <w:tabs>
          <w:tab w:val="left" w:pos="709" w:leader="none"/>
        </w:tabs>
        <w:autoSpaceDE w:val="true"/>
        <w:jc w:val="left"/>
        <w:rPr>
          <w:rFonts w:ascii="Verdana" w:hAnsi="Verdana" w:cs="Verdana"/>
          <w:b/>
          <w:b/>
          <w:lang w:eastAsia="en-US" w:bidi="ar-SA"/>
        </w:rPr>
      </w:pPr>
      <w:r>
        <w:rPr>
          <w:u w:val="none"/>
        </w:rPr>
      </w:r>
    </w:p>
    <w:p>
      <w:pPr>
        <w:pStyle w:val="Normal"/>
        <w:jc w:val="left"/>
        <w:rPr>
          <w:rFonts w:ascii="IBM Plex Sans" w:hAnsi="IBM Plex Sans"/>
          <w:b/>
          <w:b/>
          <w:bCs/>
          <w:sz w:val="22"/>
          <w:szCs w:val="22"/>
        </w:rPr>
      </w:pPr>
      <w:r>
        <w:rPr>
          <w:rFonts w:ascii="IBM Plex Sans" w:hAnsi="IBM Plex Sans"/>
          <w:b/>
          <w:bCs/>
          <w:sz w:val="22"/>
          <w:szCs w:val="22"/>
        </w:rPr>
        <w:t xml:space="preserve">1.- SECRETARÍA GENERAL. NÚMERO: 2023/4049Y. </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 ACTA DE LA SESIÓN ANTERIOR, CELEBRADA EL DÍA 27 DE FEBRERO DE 2023.</w:t>
      </w:r>
    </w:p>
    <w:p>
      <w:pPr>
        <w:pStyle w:val="Normal"/>
        <w:jc w:val="left"/>
        <w:rPr>
          <w:rFonts w:ascii="IBM Plex Sans" w:hAnsi="IBM Plex Sans"/>
          <w:sz w:val="22"/>
          <w:szCs w:val="22"/>
        </w:rPr>
      </w:pPr>
      <w:r>
        <w:rPr>
          <w:rFonts w:ascii="IBM Plex Sans" w:hAnsi="IBM Plex Sans"/>
          <w:sz w:val="22"/>
          <w:szCs w:val="22"/>
        </w:rPr>
        <w:t>Dada cuenta por el Sr. Alcalde del borrador de acta de la sesión anterior, celebrada el día 27 de febrero de 2023, el mismo es aprobado en sus literales términos, por unanimidad de los veinte asistentes.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2.- SECRETARÍA GENERAL. NÚMERO: 2023/2828G. </w:t>
      </w:r>
    </w:p>
    <w:p>
      <w:pPr>
        <w:pStyle w:val="Normal"/>
        <w:jc w:val="left"/>
        <w:rPr>
          <w:rFonts w:ascii="IBM Plex Sans" w:hAnsi="IBM Plex Sans"/>
          <w:b/>
          <w:b/>
          <w:bCs/>
          <w:sz w:val="22"/>
          <w:szCs w:val="22"/>
        </w:rPr>
      </w:pPr>
      <w:r>
        <w:rPr>
          <w:rFonts w:ascii="IBM Plex Sans" w:hAnsi="IBM Plex Sans"/>
          <w:b/>
          <w:bCs/>
          <w:sz w:val="22"/>
          <w:szCs w:val="22"/>
        </w:rPr>
        <w:t>FESTIVOS LOCALES 2024.</w:t>
      </w:r>
    </w:p>
    <w:p>
      <w:pPr>
        <w:pStyle w:val="Normal"/>
        <w:jc w:val="left"/>
        <w:rPr>
          <w:rFonts w:ascii="IBM Plex Sans" w:hAnsi="IBM Plex Sans"/>
          <w:sz w:val="22"/>
          <w:szCs w:val="22"/>
        </w:rPr>
      </w:pPr>
      <w:r>
        <w:rPr>
          <w:rFonts w:ascii="IBM Plex Sans" w:hAnsi="IBM Plex Sans"/>
          <w:sz w:val="22"/>
          <w:szCs w:val="22"/>
        </w:rPr>
        <w:t>Sometido a votación el punto referente a los festivos locales 2024, el mismo es aprobado por unanimidad de los veinte asistentes.</w:t>
      </w:r>
    </w:p>
    <w:p>
      <w:pPr>
        <w:pStyle w:val="Normal"/>
        <w:jc w:val="left"/>
        <w:rPr>
          <w:rFonts w:ascii="IBM Plex Sans" w:hAnsi="IBM Plex Sans"/>
          <w:sz w:val="22"/>
          <w:szCs w:val="22"/>
        </w:rPr>
      </w:pPr>
      <w:r>
        <w:rPr>
          <w:rFonts w:ascii="IBM Plex Sans" w:hAnsi="IBM Plex Sans"/>
          <w:sz w:val="22"/>
          <w:szCs w:val="22"/>
        </w:rPr>
        <w:t>- Jueves, 15 de febrero de 2024 (Carnaval).</w:t>
      </w:r>
    </w:p>
    <w:p>
      <w:pPr>
        <w:pStyle w:val="Normal"/>
        <w:jc w:val="left"/>
        <w:rPr>
          <w:rFonts w:ascii="IBM Plex Sans" w:hAnsi="IBM Plex Sans"/>
          <w:sz w:val="22"/>
          <w:szCs w:val="22"/>
        </w:rPr>
      </w:pPr>
      <w:r>
        <w:rPr>
          <w:rFonts w:ascii="IBM Plex Sans" w:hAnsi="IBM Plex Sans"/>
          <w:sz w:val="22"/>
          <w:szCs w:val="22"/>
        </w:rPr>
        <w:t xml:space="preserve">- Lunes, 7 de octubre de 2024 (Ntra. Sra. del Rosario).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3.- ASESORÍA JURÍDICA. NÚMERO: 2019/3271F. </w:t>
      </w:r>
    </w:p>
    <w:p>
      <w:pPr>
        <w:pStyle w:val="Normal"/>
        <w:jc w:val="left"/>
        <w:rPr>
          <w:rFonts w:ascii="IBM Plex Sans" w:hAnsi="IBM Plex Sans"/>
          <w:b/>
          <w:b/>
          <w:bCs/>
          <w:sz w:val="22"/>
          <w:szCs w:val="22"/>
        </w:rPr>
      </w:pPr>
      <w:r>
        <w:rPr>
          <w:rFonts w:ascii="IBM Plex Sans" w:hAnsi="IBM Plex Sans"/>
          <w:b/>
          <w:bCs/>
          <w:sz w:val="22"/>
          <w:szCs w:val="22"/>
        </w:rPr>
        <w:t>PRÓRROGA DEL CONVENIO EVALUACIONES AMBIENTALES.</w:t>
      </w:r>
    </w:p>
    <w:p>
      <w:pPr>
        <w:pStyle w:val="Normal"/>
        <w:jc w:val="left"/>
        <w:rPr>
          <w:rFonts w:ascii="IBM Plex Sans" w:hAnsi="IBM Plex Sans"/>
          <w:sz w:val="22"/>
          <w:szCs w:val="22"/>
        </w:rPr>
      </w:pPr>
      <w:r>
        <w:rPr>
          <w:rFonts w:ascii="IBM Plex Sans" w:hAnsi="IBM Plex Sans"/>
          <w:sz w:val="22"/>
          <w:szCs w:val="22"/>
        </w:rPr>
        <w:t>Sometido  a votación el punto referente a la prórroga del convenio de evaluaciones ambientales, el mismo es aprobado por unanimidad de los veinte asistentes.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ASESORÍA JURÍDICA. NÚMERO: 2023/2290H.</w:t>
      </w:r>
    </w:p>
    <w:p>
      <w:pPr>
        <w:pStyle w:val="Normal"/>
        <w:jc w:val="left"/>
        <w:rPr>
          <w:rFonts w:ascii="IBM Plex Sans" w:hAnsi="IBM Plex Sans"/>
          <w:b/>
          <w:b/>
          <w:bCs/>
          <w:sz w:val="22"/>
          <w:szCs w:val="22"/>
        </w:rPr>
      </w:pPr>
      <w:r>
        <w:rPr>
          <w:rFonts w:ascii="IBM Plex Sans" w:hAnsi="IBM Plex Sans"/>
          <w:b/>
          <w:bCs/>
          <w:sz w:val="22"/>
          <w:szCs w:val="22"/>
        </w:rPr>
        <w:t>MODIFICACIÓN ESTATUTOS DE LA ASOCIACIÓN MIXTA DE COMPENSACIÓN DEL POLÍGONO DE ARINAGA.</w:t>
      </w:r>
    </w:p>
    <w:p>
      <w:pPr>
        <w:pStyle w:val="Normal"/>
        <w:jc w:val="left"/>
        <w:rPr>
          <w:rFonts w:ascii="IBM Plex Sans" w:hAnsi="IBM Plex Sans"/>
          <w:sz w:val="22"/>
          <w:szCs w:val="22"/>
        </w:rPr>
      </w:pPr>
      <w:r>
        <w:rPr>
          <w:rFonts w:ascii="IBM Plex Sans" w:hAnsi="IBM Plex Sans"/>
          <w:sz w:val="22"/>
          <w:szCs w:val="22"/>
        </w:rPr>
        <w:t>Sometido a votación el punto referente a la modificación de los Estatutos de la Asociación Mixta de Compensación del Polígono de Arinaga, el mismo es aprobado por unanimidad de los veinte asistentes.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5.- INTERVENCIÓN. NÚMERO: 2023/3919Z. </w:t>
      </w:r>
    </w:p>
    <w:p>
      <w:pPr>
        <w:pStyle w:val="Normal"/>
        <w:jc w:val="left"/>
        <w:rPr>
          <w:rFonts w:ascii="IBM Plex Sans" w:hAnsi="IBM Plex Sans"/>
          <w:b/>
          <w:b/>
          <w:bCs/>
          <w:sz w:val="22"/>
          <w:szCs w:val="22"/>
        </w:rPr>
      </w:pPr>
      <w:r>
        <w:rPr>
          <w:rFonts w:ascii="IBM Plex Sans" w:hAnsi="IBM Plex Sans"/>
          <w:b/>
          <w:bCs/>
          <w:sz w:val="22"/>
          <w:szCs w:val="22"/>
        </w:rPr>
        <w:t>MODIFICACIÓN PRESUPUESTO Nº 7/2023.</w:t>
      </w:r>
    </w:p>
    <w:p>
      <w:pPr>
        <w:pStyle w:val="Normal"/>
        <w:jc w:val="left"/>
        <w:rPr>
          <w:rFonts w:ascii="IBM Plex Sans" w:hAnsi="IBM Plex Sans"/>
          <w:sz w:val="22"/>
          <w:szCs w:val="22"/>
        </w:rPr>
      </w:pPr>
      <w:r>
        <w:rPr>
          <w:rFonts w:ascii="IBM Plex Sans" w:hAnsi="IBM Plex Sans"/>
          <w:sz w:val="22"/>
          <w:szCs w:val="22"/>
        </w:rPr>
        <w:t>Sometido a votación el punto referente a la modificación del presupuesto nº 7/2023,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6.- TESORERÍA. NÚMERO: 2023/3095H.  </w:t>
      </w:r>
    </w:p>
    <w:p>
      <w:pPr>
        <w:pStyle w:val="Normal"/>
        <w:jc w:val="left"/>
        <w:rPr>
          <w:rFonts w:ascii="IBM Plex Sans" w:hAnsi="IBM Plex Sans"/>
          <w:b/>
          <w:b/>
          <w:bCs/>
          <w:sz w:val="22"/>
          <w:szCs w:val="22"/>
        </w:rPr>
      </w:pPr>
      <w:r>
        <w:rPr>
          <w:rFonts w:ascii="IBM Plex Sans" w:hAnsi="IBM Plex Sans"/>
          <w:b/>
          <w:bCs/>
          <w:sz w:val="22"/>
          <w:szCs w:val="22"/>
        </w:rPr>
        <w:t>MODIFICACIÓN DE LA ORDENANZA FISCAL GENERAL.</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General,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7.- TESORERÍA. NÚMERO: 2023/3096L. </w:t>
      </w:r>
    </w:p>
    <w:p>
      <w:pPr>
        <w:pStyle w:val="Normal"/>
        <w:jc w:val="left"/>
        <w:rPr>
          <w:rFonts w:ascii="IBM Plex Sans" w:hAnsi="IBM Plex Sans"/>
          <w:b/>
          <w:b/>
          <w:bCs/>
          <w:sz w:val="22"/>
          <w:szCs w:val="22"/>
        </w:rPr>
      </w:pPr>
      <w:r>
        <w:rPr>
          <w:rFonts w:ascii="IBM Plex Sans" w:hAnsi="IBM Plex Sans"/>
          <w:b/>
          <w:bCs/>
          <w:sz w:val="22"/>
          <w:szCs w:val="22"/>
        </w:rPr>
        <w:t>MODIFICACIÓN ORDENANZA FISCAL DEL IMPUESTO DE BIENES INMUEBLES.</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del Impuesto de Bienes Inmuebles,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8.- TESORERÍA. NÚMERO: 2023/3097C. </w:t>
      </w:r>
    </w:p>
    <w:p>
      <w:pPr>
        <w:pStyle w:val="Normal"/>
        <w:jc w:val="left"/>
        <w:rPr>
          <w:rFonts w:ascii="IBM Plex Sans" w:hAnsi="IBM Plex Sans"/>
          <w:sz w:val="22"/>
          <w:szCs w:val="22"/>
        </w:rPr>
      </w:pPr>
      <w:r>
        <w:rPr>
          <w:rFonts w:cs="Verdana" w:ascii="IBM Plex Sans" w:hAnsi="IBM Plex Sans"/>
          <w:b/>
          <w:sz w:val="22"/>
          <w:szCs w:val="22"/>
          <w:lang w:eastAsia="en-US" w:bidi="ar-SA"/>
        </w:rPr>
        <w:t>MODIFICACIÓN ORDENANZA FISCAL DEL IMPUESTO SOBRE VEHÍCULOS DE TRACCIÓN MECÁNICA.</w:t>
      </w:r>
      <w:r>
        <w:rPr>
          <w:rFonts w:cs="Verdana" w:ascii="IBM Plex Sans" w:hAnsi="IBM Plex Sans"/>
          <w:sz w:val="22"/>
          <w:szCs w:val="22"/>
          <w:lang w:eastAsia="en-US" w:bidi="ar-SA"/>
        </w:rPr>
        <w:tab/>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del Impuesto sobre Vehículos de Tracción Mecánica,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9.- TESORERÍA. NÚMERO: 2023/3098K. </w:t>
      </w:r>
    </w:p>
    <w:p>
      <w:pPr>
        <w:pStyle w:val="Normal"/>
        <w:jc w:val="left"/>
        <w:rPr>
          <w:rFonts w:ascii="IBM Plex Sans" w:hAnsi="IBM Plex Sans"/>
          <w:b/>
          <w:b/>
          <w:bCs/>
          <w:sz w:val="22"/>
          <w:szCs w:val="22"/>
        </w:rPr>
      </w:pPr>
      <w:r>
        <w:rPr>
          <w:rFonts w:ascii="IBM Plex Sans" w:hAnsi="IBM Plex Sans"/>
          <w:b/>
          <w:bCs/>
          <w:sz w:val="22"/>
          <w:szCs w:val="22"/>
        </w:rPr>
        <w:t>MODIFICACIÓN ORDENANZA FISCAL DE ENSEÑANZA EN CENTROS DE CULTURA Y EN OTRAS INSTALACIONES MUNICIPALES.</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de Enseñanza en centros de cultura y en otras instalaciones municipales,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10.- TESORERÍA. NÚMERO: 2023/3100T. </w:t>
      </w:r>
    </w:p>
    <w:p>
      <w:pPr>
        <w:pStyle w:val="Normal"/>
        <w:jc w:val="left"/>
        <w:rPr>
          <w:rFonts w:ascii="IBM Plex Sans" w:hAnsi="IBM Plex Sans"/>
          <w:b/>
          <w:b/>
          <w:bCs/>
          <w:sz w:val="22"/>
          <w:szCs w:val="22"/>
        </w:rPr>
      </w:pPr>
      <w:r>
        <w:rPr>
          <w:rFonts w:ascii="IBM Plex Sans" w:hAnsi="IBM Plex Sans"/>
          <w:b/>
          <w:bCs/>
          <w:sz w:val="22"/>
          <w:szCs w:val="22"/>
        </w:rPr>
        <w:t>MODIFICACIÓN ORDENANZA FISCAL OCUPACIÓN DE TERRENOS DE USO PÚBLICO Y OTRAS INSTALACIONES ANÁLOGAS.</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de Ocupación de terrenos de uso público y otras instalaciones análogas,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11.- TESORERÍA. NÚMERO: 2023/3101R. </w:t>
      </w:r>
    </w:p>
    <w:p>
      <w:pPr>
        <w:pStyle w:val="Normal"/>
        <w:jc w:val="left"/>
        <w:rPr>
          <w:rFonts w:ascii="IBM Plex Sans" w:hAnsi="IBM Plex Sans"/>
          <w:b/>
          <w:b/>
          <w:bCs/>
          <w:sz w:val="22"/>
          <w:szCs w:val="22"/>
        </w:rPr>
      </w:pPr>
      <w:r>
        <w:rPr>
          <w:rFonts w:ascii="IBM Plex Sans" w:hAnsi="IBM Plex Sans"/>
          <w:b/>
          <w:bCs/>
          <w:sz w:val="22"/>
          <w:szCs w:val="22"/>
        </w:rPr>
        <w:t>MODIFICACIÓN ORDENANZA FISCAL SERVICIOS DE PISCINAS E INSTALACIONES DEPORTIVAS MUNICIPALES.</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de Servicios de Piscinas e Instalaciones deportivas municipales, el mismo es aprobado con dieciséis votos a favor (Roque Aguayro) y cuatro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12.- INTERVENCIÓN. NÚMERO: 2023/1050C. </w:t>
      </w:r>
    </w:p>
    <w:p>
      <w:pPr>
        <w:pStyle w:val="Normal"/>
        <w:jc w:val="left"/>
        <w:rPr>
          <w:rFonts w:ascii="IBM Plex Sans" w:hAnsi="IBM Plex Sans"/>
          <w:b/>
          <w:b/>
          <w:bCs/>
          <w:sz w:val="22"/>
          <w:szCs w:val="22"/>
        </w:rPr>
      </w:pPr>
      <w:r>
        <w:rPr>
          <w:rFonts w:ascii="IBM Plex Sans" w:hAnsi="IBM Plex Sans"/>
          <w:b/>
          <w:bCs/>
          <w:sz w:val="22"/>
          <w:szCs w:val="22"/>
        </w:rPr>
        <w:t>DACIÓN DE CUENTA LIQUIDACIÓN PRESUPUESTO 2022.</w:t>
      </w:r>
    </w:p>
    <w:p>
      <w:pPr>
        <w:pStyle w:val="Normal"/>
        <w:jc w:val="left"/>
        <w:rPr>
          <w:rFonts w:ascii="IBM Plex Sans" w:hAnsi="IBM Plex Sans"/>
          <w:sz w:val="22"/>
          <w:szCs w:val="22"/>
        </w:rPr>
      </w:pPr>
      <w:r>
        <w:rPr>
          <w:rFonts w:ascii="IBM Plex Sans" w:hAnsi="IBM Plex Sans"/>
          <w:sz w:val="22"/>
          <w:szCs w:val="22"/>
        </w:rPr>
        <w:t>Se da cuenta.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13.- INTERVENCIÓN. NÚMERO: 2023/1055W. </w:t>
      </w:r>
    </w:p>
    <w:p>
      <w:pPr>
        <w:pStyle w:val="Normal"/>
        <w:jc w:val="left"/>
        <w:rPr>
          <w:rFonts w:ascii="IBM Plex Sans" w:hAnsi="IBM Plex Sans"/>
          <w:b/>
          <w:b/>
          <w:bCs/>
          <w:sz w:val="22"/>
          <w:szCs w:val="22"/>
        </w:rPr>
      </w:pPr>
      <w:r>
        <w:rPr>
          <w:rFonts w:ascii="IBM Plex Sans" w:hAnsi="IBM Plex Sans"/>
          <w:b/>
          <w:bCs/>
          <w:sz w:val="22"/>
          <w:szCs w:val="22"/>
        </w:rPr>
        <w:t>DACIÓN DE CUENTA INCORPORACIÓN DE REMANENTES DE CRÉDITO DEL EJERCICIO 2022.</w:t>
      </w:r>
    </w:p>
    <w:p>
      <w:pPr>
        <w:pStyle w:val="Normal"/>
        <w:jc w:val="left"/>
        <w:rPr>
          <w:rFonts w:ascii="IBM Plex Sans" w:hAnsi="IBM Plex Sans"/>
          <w:sz w:val="22"/>
          <w:szCs w:val="22"/>
        </w:rPr>
      </w:pPr>
      <w:r>
        <w:rPr>
          <w:rFonts w:ascii="IBM Plex Sans" w:hAnsi="IBM Plex Sans"/>
          <w:sz w:val="22"/>
          <w:szCs w:val="22"/>
        </w:rPr>
        <w:t>Se da cuenta.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14.-SECRETARÍA GENERAL. NÚMERO: 2023/3883R. </w:t>
      </w:r>
    </w:p>
    <w:p>
      <w:pPr>
        <w:pStyle w:val="Normal"/>
        <w:jc w:val="left"/>
        <w:rPr>
          <w:rFonts w:ascii="IBM Plex Sans" w:hAnsi="IBM Plex Sans"/>
          <w:b/>
          <w:b/>
          <w:bCs/>
          <w:sz w:val="22"/>
          <w:szCs w:val="22"/>
        </w:rPr>
      </w:pPr>
      <w:r>
        <w:rPr>
          <w:rFonts w:ascii="IBM Plex Sans" w:hAnsi="IBM Plex Sans"/>
          <w:b/>
          <w:bCs/>
          <w:sz w:val="22"/>
          <w:szCs w:val="22"/>
        </w:rPr>
        <w:t>MOCIÓN GRUPO MIXTO (Cs) RECUPERACIÓN DE LA PARCELA CEDIDA A LA FUNDACIÓN LABORAL DE LA CONSTRUCCIÓN DE LAS PALMAS.</w:t>
      </w:r>
    </w:p>
    <w:p>
      <w:pPr>
        <w:pStyle w:val="Normal"/>
        <w:jc w:val="left"/>
        <w:rPr>
          <w:rFonts w:ascii="IBM Plex Sans" w:hAnsi="IBM Plex Sans"/>
          <w:sz w:val="22"/>
          <w:szCs w:val="22"/>
        </w:rPr>
      </w:pPr>
      <w:r>
        <w:rPr>
          <w:rFonts w:ascii="IBM Plex Sans" w:hAnsi="IBM Plex Sans"/>
          <w:sz w:val="22"/>
          <w:szCs w:val="22"/>
        </w:rPr>
        <w:t>Se</w:t>
      </w:r>
      <w:r>
        <w:rPr>
          <w:rFonts w:ascii="IBM Plex Sans" w:hAnsi="IBM Plex Sans"/>
          <w:sz w:val="22"/>
          <w:szCs w:val="22"/>
        </w:rPr>
        <w:t xml:space="preserve"> deja la moción sobre la mesa.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15.- DACIÓN DE CUENTA DECRETOS DE LA ALCALDÍA, ACTAS DE LA JUNTA DE GOBIERNO LOCAL Y ACTAS DE LA JUNTA GENERAL DE LA MANCOMUNIDAD.</w:t>
      </w:r>
    </w:p>
    <w:p>
      <w:pPr>
        <w:pStyle w:val="Normal"/>
        <w:jc w:val="left"/>
        <w:rPr>
          <w:rFonts w:ascii="IBM Plex Sans" w:hAnsi="IBM Plex Sans"/>
          <w:sz w:val="22"/>
          <w:szCs w:val="22"/>
        </w:rPr>
      </w:pPr>
      <w:r>
        <w:rPr>
          <w:rFonts w:cs="Verdana" w:ascii="IBM Plex Sans" w:hAnsi="IBM Plex Sans"/>
          <w:sz w:val="22"/>
          <w:szCs w:val="22"/>
          <w:lang w:eastAsia="en-US" w:bidi="ar-SA"/>
        </w:rPr>
        <w:t>El Sr. Alcalde</w:t>
      </w:r>
      <w:r>
        <w:rPr>
          <w:rFonts w:cs="Verdana" w:ascii="IBM Plex Sans" w:hAnsi="IBM Plex Sans"/>
          <w:sz w:val="22"/>
          <w:szCs w:val="22"/>
        </w:rPr>
        <w:t xml:space="preserve"> da cuenta de las actas de la Junta de Gobierno Local, celebradas desde el día 13 de febrero de 2023 al 6 de marzo de 2023, y de los Decretos de la Alcaldía desde el 2023/596 al 2023/813.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Asimismo, se da cuenta del acta de la Junta General de la Mancomunidad de fecha 25 de enero de 2023.</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IBM Plex Sans">
    <w:charset w:val="00"/>
    <w:family w:val="roman"/>
    <w:pitch w:val="variable"/>
  </w:font>
  <w:font w:name="SymbolMT">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Arial Narrow">
    <w:charset w:val="00"/>
    <w:family w:val="roman"/>
    <w:pitch w:val="variable"/>
  </w:font>
  <w:font w:name="Roboto Slab">
    <w:charset w:val="00"/>
    <w:family w:val="swiss"/>
    <w:pitch w:val="variable"/>
  </w:font>
  <w:font w:name="Roboto Slab">
    <w:charset w:val="00"/>
    <w:family w:val="roman"/>
    <w:pitch w:val="variable"/>
  </w:font>
  <w:font w:name="Verdana">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WW8NumSt41z0">
    <w:name w:val="WW8NumSt41z0"/>
    <w:qFormat/>
    <w:rPr>
      <w:rFonts w:eastAsia="Arial Unicode MS"/>
      <w:caps w:val="false"/>
      <w:smallCaps w:val="false"/>
      <w:strike w:val="false"/>
      <w:dstrike w:val="false"/>
      <w:outline w:val="false"/>
      <w:spacing w:val="0"/>
      <w:w w:val="100"/>
      <w:kern w:val="0"/>
      <w:szCs w:val="29"/>
      <w:lang w:eastAsia="es-ES_tradnl"/>
    </w:rPr>
  </w:style>
  <w:style w:type="character" w:styleId="WW8NumSt40z0">
    <w:name w:val="WW8NumSt40z0"/>
    <w:qFormat/>
    <w:rPr>
      <w:rFonts w:eastAsia="Times New Roman"/>
      <w:iCs/>
      <w:caps w:val="false"/>
      <w:smallCaps w:val="false"/>
      <w:strike w:val="false"/>
      <w:dstrike w:val="false"/>
      <w:outline w:val="false"/>
      <w:spacing w:val="0"/>
      <w:w w:val="100"/>
      <w:kern w:val="0"/>
    </w:rPr>
  </w:style>
  <w:style w:type="character" w:styleId="Ninguno">
    <w:name w:val="Ninguno"/>
    <w:qFormat/>
    <w:rPr>
      <w:lang w:val="es-ES_tradnl"/>
    </w:rPr>
  </w:style>
  <w:style w:type="character" w:styleId="WW8Num46z1">
    <w:name w:val="WW8Num46z1"/>
    <w:qFormat/>
    <w:rPr>
      <w:rFonts w:ascii="Courier New" w:hAnsi="Courier New" w:eastAsia="Courier New"/>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rFonts w:ascii="IBM Plex Sans" w:hAnsi="IBM Plex Sans" w:eastAsia="Tunga"/>
      <w:sz w:val="22"/>
      <w:szCs w:val="22"/>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rFonts w:ascii="IBM Plex Sans" w:hAnsi="IBM Plex Sans" w:eastAsia="Tunga"/>
      <w:sz w:val="22"/>
      <w:szCs w:val="22"/>
    </w:rPr>
  </w:style>
  <w:style w:type="character" w:styleId="WW8Num50z0">
    <w:name w:val="WW8Num50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42z1">
    <w:name w:val="WW8Num42z1"/>
    <w:qFormat/>
    <w:rPr>
      <w:rFonts w:ascii="Courier New" w:hAnsi="Courier New" w:eastAsia="Courier New"/>
    </w:rPr>
  </w:style>
  <w:style w:type="character" w:styleId="WW8Num44z1">
    <w:name w:val="WW8Num44z1"/>
    <w:qFormat/>
    <w:rPr>
      <w:rFonts w:ascii="Courier New" w:hAnsi="Courier New" w:eastAsia="Courier New"/>
      <w:sz w:val="20"/>
      <w:szCs w:val="20"/>
    </w:rPr>
  </w:style>
  <w:style w:type="character" w:styleId="WW8Num45z0">
    <w:name w:val="WW8Num45z0"/>
    <w:qFormat/>
    <w:rPr>
      <w:rFonts w:eastAsia="Arial"/>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IBM Plex Sans" w:hAnsi="IBM Plex Sans" w:eastAsia="Times New Roman"/>
    </w:rPr>
  </w:style>
  <w:style w:type="character" w:styleId="WW8Num47z0">
    <w:name w:val="WW8Num47z0"/>
    <w:qFormat/>
    <w:rPr>
      <w:rFonts w:ascii="SymbolMT" w:hAnsi="SymbolMT" w:eastAsia="SymbolMT"/>
      <w:i w:val="false"/>
      <w:sz w:val="20"/>
      <w:szCs w:val="20"/>
    </w:rPr>
  </w:style>
  <w:style w:type="character" w:styleId="WW8Num47z1">
    <w:name w:val="WW8Num47z1"/>
    <w:qFormat/>
    <w:rPr>
      <w:rFonts w:ascii="Courier New" w:hAnsi="Courier New" w:eastAsia="Courier New"/>
    </w:rPr>
  </w:style>
  <w:style w:type="character" w:styleId="Style3Car">
    <w:name w:val="Style3 Car"/>
    <w:qFormat/>
    <w:rPr>
      <w:rFonts w:ascii="Candara" w:hAnsi="Candara" w:eastAsia="Candar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Style31">
    <w:name w:val="Style3"/>
    <w:basedOn w:val="Normal"/>
    <w:qFormat/>
    <w:pPr/>
    <w:rPr>
      <w:rFonts w:ascii="Candara" w:hAnsi="Candara" w:eastAsia="Candara"/>
    </w:rPr>
  </w:style>
  <w:style w:type="paragraph" w:styleId="Simpleizquierda">
    <w:name w:val="simple izquierda"/>
    <w:basedOn w:val="Normal"/>
    <w:qFormat/>
    <w:pPr>
      <w:widowControl/>
      <w:spacing w:before="280" w:after="280"/>
    </w:pPr>
    <w:rPr>
      <w:rFonts w:ascii="Times New Roman" w:hAnsi="Times New Roman" w:eastAsia="Times New Roman"/>
    </w:rPr>
  </w:style>
  <w:style w:type="paragraph" w:styleId="Any">
    <w:name w:val="any"/>
    <w:basedOn w:val="Normal"/>
    <w:qFormat/>
    <w:pPr>
      <w:widowControl/>
    </w:pPr>
    <w:rPr>
      <w:rFonts w:ascii="Times New Roman" w:hAnsi="Times New Roman" w:eastAsia="Times New Roman"/>
    </w:rPr>
  </w:style>
  <w:style w:type="paragraph" w:styleId="Contentdocumentsp">
    <w:name w:val="content-documents_p"/>
    <w:basedOn w:val="Normal"/>
    <w:qFormat/>
    <w:pPr>
      <w:widowControl/>
    </w:pPr>
    <w:rPr>
      <w:rFonts w:ascii="Times New Roman" w:hAnsi="Times New Roman" w:eastAsia="Times New Roman"/>
    </w:rPr>
  </w:style>
  <w:style w:type="paragraph" w:styleId="NormalWeb1">
    <w:name w:val="Normal (Web)1"/>
    <w:qFormat/>
    <w:pPr>
      <w:widowControl/>
      <w:suppressAutoHyphens w:val="true"/>
      <w:kinsoku w:val="true"/>
      <w:overflowPunct w:val="true"/>
      <w:autoSpaceDE w:val="true"/>
      <w:bidi w:val="0"/>
      <w:spacing w:before="100" w:after="119"/>
      <w:jc w:val="left"/>
    </w:pPr>
    <w:rPr>
      <w:rFonts w:ascii="Times New Roman" w:hAnsi="Times New Roman" w:eastAsia="Arial Unicode MS" w:cs="Liberation Serif"/>
      <w:color w:val="000000"/>
      <w:kern w:val="2"/>
      <w:sz w:val="24"/>
      <w:szCs w:val="24"/>
      <w:lang w:val="es-ES_tradnl" w:eastAsia="zh-CN" w:bidi="hi-IN"/>
    </w:rPr>
  </w:style>
  <w:style w:type="paragraph" w:styleId="Heading11">
    <w:name w:val="Heading 11"/>
    <w:basedOn w:val="Normal"/>
    <w:qFormat/>
    <w:pPr>
      <w:spacing w:before="217" w:after="0"/>
      <w:ind w:left="101" w:right="0" w:hanging="0"/>
    </w:pPr>
    <w:rPr>
      <w:rFonts w:ascii="Arial" w:hAnsi="Arial"/>
      <w:b/>
      <w:bCs/>
    </w:rPr>
  </w:style>
  <w:style w:type="paragraph" w:styleId="CarCar11">
    <w:name w:val="Car Car1"/>
    <w:basedOn w:val="Normal"/>
    <w:qFormat/>
    <w:pPr>
      <w:widowControl/>
      <w:spacing w:lineRule="exact" w:line="240" w:before="0" w:after="160"/>
    </w:pPr>
    <w:rPr>
      <w:rFonts w:ascii="Tahoma" w:hAnsi="Tahoma" w:eastAsia="Times New Roman"/>
      <w:sz w:val="20"/>
      <w:szCs w:val="20"/>
      <w:lang w:val="en-US"/>
    </w:rPr>
  </w:style>
  <w:style w:type="paragraph" w:styleId="Style12">
    <w:name w:val="Style1"/>
    <w:basedOn w:val="Normal"/>
    <w:qFormat/>
    <w:pPr/>
    <w:rPr>
      <w:rFonts w:ascii="Candara" w:hAnsi="Candara" w:eastAsia="Candara"/>
    </w:rPr>
  </w:style>
  <w:style w:type="paragraph" w:styleId="Imagencorporativa">
    <w:name w:val="Imagen corporativa"/>
    <w:basedOn w:val="Normal"/>
    <w:qFormat/>
    <w:pPr>
      <w:widowControl/>
      <w:spacing w:before="0" w:after="320"/>
      <w:ind w:left="1191" w:right="0" w:firstLine="737"/>
    </w:pPr>
    <w:rPr>
      <w:rFonts w:ascii="Arial" w:hAnsi="Arial"/>
    </w:rPr>
  </w:style>
  <w:style w:type="paragraph" w:styleId="Ttulo20">
    <w:name w:val="Título 2_0"/>
    <w:basedOn w:val="Normal"/>
    <w:qFormat/>
    <w:pPr>
      <w:keepNext w:val="true"/>
      <w:spacing w:before="240" w:after="60"/>
    </w:pPr>
    <w:rPr>
      <w:rFonts w:ascii="Arial" w:hAnsi="Arial"/>
      <w:b/>
      <w:bCs/>
      <w:i/>
      <w:iCs/>
      <w:sz w:val="28"/>
      <w:szCs w:val="28"/>
    </w:rPr>
  </w:style>
  <w:style w:type="paragraph" w:styleId="Parrafo2">
    <w:name w:val="parrafo_2"/>
    <w:basedOn w:val="Normal"/>
    <w:qFormat/>
    <w:pPr>
      <w:widowControl/>
      <w:spacing w:before="280" w:after="280"/>
    </w:pPr>
    <w:rPr>
      <w:rFonts w:ascii="Times New Roman" w:hAnsi="Times New Roman" w:eastAsia="Times New Roman"/>
    </w:rPr>
  </w:style>
  <w:style w:type="paragraph" w:styleId="Ttulo10">
    <w:name w:val="Título 1_0"/>
    <w:basedOn w:val="Normal"/>
    <w:qFormat/>
    <w:pPr>
      <w:keepNext w:val="true"/>
      <w:widowControl/>
      <w:spacing w:before="240" w:after="60"/>
    </w:pPr>
    <w:rPr>
      <w:rFonts w:ascii="Calibri Light" w:hAnsi="Calibri Light" w:eastAsia="Times New Roman"/>
      <w:b/>
      <w:bCs/>
      <w:sz w:val="32"/>
      <w:szCs w:val="32"/>
    </w:rPr>
  </w:style>
  <w:style w:type="paragraph" w:styleId="STALUCIA001">
    <w:name w:val="STALUCIA_001"/>
    <w:basedOn w:val="Normal"/>
    <w:qFormat/>
    <w:pPr>
      <w:spacing w:lineRule="exact" w:line="288" w:before="60" w:after="60"/>
      <w:ind w:left="567" w:right="0" w:hanging="0"/>
    </w:pPr>
    <w:rPr>
      <w:rFonts w:ascii="Arial Narrow" w:hAnsi="Arial Narrow" w:eastAsia="Arial Narrow"/>
      <w:bC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327</TotalTime>
  <Application>LibreOffice/6.4.3.2$Windows_X86_64 LibreOffice_project/747b5d0ebf89f41c860ec2a39efd7cb15b54f2d8</Application>
  <Pages>3</Pages>
  <Words>746</Words>
  <Characters>4022</Characters>
  <CharactersWithSpaces>4743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2023-07-03T17:07:28Z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