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rFonts w:ascii="Roboto Slab" w:hAnsi="Roboto Slab" w:cs="Roboto Slab"/>
          <w:b/>
          <w:b/>
          <w:bCs/>
          <w:i w:val="false"/>
          <w:i w:val="false"/>
          <w:iCs w:val="false"/>
          <w:color w:val="000080"/>
          <w:sz w:val="36"/>
          <w:szCs w:val="36"/>
          <w:u w:val="none"/>
          <w:lang w:val="es-ES" w:eastAsia="en-US" w:bidi="ar-SA"/>
        </w:rPr>
      </w:pPr>
      <w:r>
        <w:rPr>
          <w:rFonts w:cs="Roboto Slab" w:ascii="Roboto Slab" w:hAnsi="Roboto Slab"/>
          <w:b/>
          <w:bCs/>
          <w:i w:val="false"/>
          <w:iCs w:val="false"/>
          <w:color w:val="000080"/>
          <w:sz w:val="36"/>
          <w:szCs w:val="36"/>
          <w:u w:val="none"/>
          <w:lang w:val="es-ES" w:eastAsia="en-US" w:bidi="ar-SA"/>
        </w:rPr>
        <w:t>ACUERDOS PLENO</w:t>
      </w:r>
    </w:p>
    <w:p>
      <w:pPr>
        <w:pStyle w:val="Normal"/>
        <w:widowControl/>
        <w:autoSpaceDE w:val="true"/>
        <w:jc w:val="left"/>
        <w:rPr/>
      </w:pPr>
      <w:r>
        <w:rPr>
          <w:rFonts w:eastAsia="Times New Roman" w:cs="Roboto Slab" w:ascii="Roboto Slab" w:hAnsi="Roboto Slab"/>
          <w:b/>
          <w:bCs/>
          <w:i w:val="false"/>
          <w:iCs w:val="false"/>
          <w:color w:val="000080"/>
          <w:kern w:val="2"/>
          <w:sz w:val="36"/>
          <w:szCs w:val="36"/>
          <w:u w:val="none"/>
          <w:lang w:val="es-ES" w:eastAsia="ar-SA" w:bidi="ar-SA"/>
        </w:rPr>
        <w:t>VEINTICUATRO</w:t>
      </w:r>
      <w:r>
        <w:rPr>
          <w:rFonts w:cs="Roboto Slab" w:ascii="Roboto Slab" w:hAnsi="Roboto Slab"/>
          <w:b/>
          <w:bCs/>
          <w:i w:val="false"/>
          <w:iCs w:val="false"/>
          <w:color w:val="000080"/>
          <w:sz w:val="36"/>
          <w:szCs w:val="36"/>
          <w:u w:val="none"/>
        </w:rPr>
        <w:t xml:space="preserve"> DE </w:t>
      </w:r>
      <w:r>
        <w:rPr>
          <w:rFonts w:cs="Roboto Slab" w:ascii="Roboto Slab" w:hAnsi="Roboto Slab"/>
          <w:b/>
          <w:bCs/>
          <w:i w:val="false"/>
          <w:iCs w:val="false"/>
          <w:color w:val="000080"/>
          <w:sz w:val="36"/>
          <w:szCs w:val="36"/>
          <w:u w:val="none"/>
        </w:rPr>
        <w:t>ABRIL</w:t>
      </w:r>
      <w:r>
        <w:rPr>
          <w:rFonts w:cs="Roboto Slab" w:ascii="Roboto Slab" w:hAnsi="Roboto Slab"/>
          <w:b/>
          <w:bCs/>
          <w:i w:val="false"/>
          <w:iCs w:val="false"/>
          <w:color w:val="000080"/>
          <w:sz w:val="36"/>
          <w:szCs w:val="36"/>
          <w:u w:val="none"/>
        </w:rPr>
        <w:t xml:space="preserve"> DE DOS MIL VEINTI</w:t>
      </w:r>
      <w:r>
        <w:rPr>
          <w:rFonts w:cs="Roboto Slab" w:ascii="Roboto Slab" w:hAnsi="Roboto Slab"/>
          <w:b/>
          <w:bCs/>
          <w:i w:val="false"/>
          <w:iCs w:val="false"/>
          <w:color w:val="000080"/>
          <w:sz w:val="36"/>
          <w:szCs w:val="36"/>
          <w:u w:val="none"/>
        </w:rPr>
        <w:t>TRÉ</w:t>
      </w:r>
      <w:r>
        <w:rPr>
          <w:rFonts w:cs="Roboto Slab" w:ascii="Roboto Slab" w:hAnsi="Roboto Slab"/>
          <w:b/>
          <w:bCs/>
          <w:i w:val="false"/>
          <w:iCs w:val="false"/>
          <w:color w:val="000080"/>
          <w:sz w:val="36"/>
          <w:szCs w:val="36"/>
          <w:u w:val="none"/>
        </w:rPr>
        <w:t>S</w:t>
      </w:r>
    </w:p>
    <w:p>
      <w:pPr>
        <w:pStyle w:val="Normal"/>
        <w:widowControl/>
        <w:autoSpaceDE w:val="true"/>
        <w:jc w:val="center"/>
        <w:rPr>
          <w:rFonts w:ascii="Verdana" w:hAnsi="Verdana" w:eastAsia="Times New Roman" w:cs="Times New Roman"/>
          <w:b/>
          <w:b/>
          <w:bCs/>
          <w:sz w:val="22"/>
          <w:szCs w:val="22"/>
          <w:u w:val="none"/>
          <w:lang w:val="es-ES" w:eastAsia="en-US" w:bidi="ar-SA"/>
        </w:rPr>
      </w:pPr>
      <w:r>
        <w:rPr>
          <w:rFonts w:eastAsia="Times New Roman" w:cs="Times New Roman" w:ascii="Verdana" w:hAnsi="Verdana"/>
          <w:b/>
          <w:bCs/>
          <w:sz w:val="22"/>
          <w:szCs w:val="22"/>
          <w:u w:val="none"/>
          <w:lang w:val="es-ES" w:eastAsia="en-US" w:bidi="ar-SA"/>
        </w:rPr>
      </w:r>
    </w:p>
    <w:p>
      <w:pPr>
        <w:pStyle w:val="Normal"/>
        <w:rPr>
          <w:rFonts w:ascii="IBM Plex Sans" w:hAnsi="IBM Plex Sans"/>
          <w:b/>
          <w:b/>
          <w:bCs/>
          <w:sz w:val="22"/>
          <w:szCs w:val="22"/>
        </w:rPr>
      </w:pPr>
      <w:r>
        <w:rPr>
          <w:rFonts w:ascii="IBM Plex Sans" w:hAnsi="IBM Plex Sans"/>
          <w:b/>
          <w:bCs/>
          <w:sz w:val="22"/>
          <w:szCs w:val="22"/>
        </w:rPr>
        <w:t xml:space="preserve">1.- SECRETARÍA GENERAL. NÚMERO: 2023/4049Y. </w:t>
      </w:r>
    </w:p>
    <w:p>
      <w:pPr>
        <w:pStyle w:val="Normal"/>
        <w:rPr>
          <w:rFonts w:ascii="IBM Plex Sans" w:hAnsi="IBM Plex Sans"/>
          <w:b/>
          <w:b/>
          <w:bCs/>
          <w:sz w:val="22"/>
          <w:szCs w:val="22"/>
        </w:rPr>
      </w:pPr>
      <w:r>
        <w:rPr>
          <w:rFonts w:ascii="IBM Plex Sans" w:hAnsi="IBM Plex Sans"/>
          <w:b/>
          <w:bCs/>
          <w:sz w:val="22"/>
          <w:szCs w:val="22"/>
        </w:rPr>
        <w:t>LECTURA Y APROBACIÓN, SI PROCEDE, DEL BORRADOR DE ACTA DE LA SESIÓN ANTERIOR, CELEBRADA EL DÍA 27 DE MARZO DE 2023.</w:t>
      </w:r>
    </w:p>
    <w:p>
      <w:pPr>
        <w:pStyle w:val="Normal"/>
        <w:rPr>
          <w:rFonts w:ascii="IBM Plex Sans" w:hAnsi="IBM Plex Sans"/>
          <w:sz w:val="22"/>
          <w:szCs w:val="22"/>
        </w:rPr>
      </w:pPr>
      <w:r>
        <w:rPr>
          <w:rFonts w:ascii="IBM Plex Sans" w:hAnsi="IBM Plex Sans"/>
          <w:sz w:val="22"/>
          <w:szCs w:val="22"/>
        </w:rPr>
        <w:t>Dada cuenta por el Sr. Alcalde del borrador de acta de la sesión anterior, celebrada el día 27 de marzo de 2023, el mismo es aprobado en sus literales términos, por unanimidad de los dieciséis asistentes.</w:t>
      </w:r>
    </w:p>
    <w:p>
      <w:pPr>
        <w:pStyle w:val="Normal"/>
        <w:rPr>
          <w:rFonts w:ascii="IBM Plex Sans" w:hAnsi="IBM Plex Sans"/>
          <w:sz w:val="20"/>
          <w:szCs w:val="20"/>
        </w:rPr>
      </w:pPr>
      <w:r>
        <w:rPr>
          <w:rFonts w:ascii="IBM Plex Sans" w:hAnsi="IBM Plex Sans"/>
          <w:sz w:val="20"/>
          <w:szCs w:val="20"/>
        </w:rPr>
      </w:r>
    </w:p>
    <w:p>
      <w:pPr>
        <w:pStyle w:val="Normal"/>
        <w:rPr>
          <w:rFonts w:ascii="IBM Plex Sans" w:hAnsi="IBM Plex Sans"/>
          <w:b/>
          <w:b/>
          <w:bCs/>
          <w:sz w:val="22"/>
          <w:szCs w:val="22"/>
        </w:rPr>
      </w:pPr>
      <w:r>
        <w:rPr>
          <w:rFonts w:ascii="IBM Plex Sans" w:hAnsi="IBM Plex Sans"/>
          <w:b/>
          <w:bCs/>
          <w:sz w:val="22"/>
          <w:szCs w:val="22"/>
        </w:rPr>
        <w:t>2.- SECRETARÍA GENERAL. NÚMERO: 2023/5474M.</w:t>
      </w:r>
    </w:p>
    <w:p>
      <w:pPr>
        <w:pStyle w:val="Normal"/>
        <w:rPr>
          <w:rFonts w:ascii="IBM Plex Sans" w:hAnsi="IBM Plex Sans"/>
          <w:b/>
          <w:b/>
          <w:bCs/>
          <w:sz w:val="22"/>
          <w:szCs w:val="22"/>
        </w:rPr>
      </w:pPr>
      <w:r>
        <w:rPr>
          <w:rFonts w:ascii="IBM Plex Sans" w:hAnsi="IBM Plex Sans"/>
          <w:b/>
          <w:bCs/>
          <w:sz w:val="22"/>
          <w:szCs w:val="22"/>
        </w:rPr>
        <w:t>APROBACIÓN DEL INVENTARIO DE BIENES Y PATRIMONIO PÚBLICO DEL SUELO.</w:t>
      </w:r>
    </w:p>
    <w:p>
      <w:pPr>
        <w:pStyle w:val="Normal"/>
        <w:rPr>
          <w:rFonts w:ascii="IBM Plex Sans" w:hAnsi="IBM Plex Sans"/>
          <w:sz w:val="22"/>
          <w:szCs w:val="22"/>
        </w:rPr>
      </w:pPr>
      <w:r>
        <w:rPr>
          <w:rFonts w:ascii="IBM Plex Sans" w:hAnsi="IBM Plex Sans"/>
          <w:sz w:val="22"/>
          <w:szCs w:val="22"/>
        </w:rPr>
        <w:t>Sometido a votación el punto referente a la aprobación del Inventario de bienes y del Patrimonio Público del Suelo, el mismo es aprobado por unanimidad, de los dieciséis asistentes.</w:t>
      </w:r>
    </w:p>
    <w:p>
      <w:pPr>
        <w:pStyle w:val="Normal"/>
        <w:rPr>
          <w:rFonts w:ascii="IBM Plex Sans" w:hAnsi="IBM Plex Sans"/>
          <w:sz w:val="20"/>
          <w:szCs w:val="20"/>
        </w:rPr>
      </w:pPr>
      <w:r>
        <w:rPr>
          <w:rFonts w:ascii="IBM Plex Sans" w:hAnsi="IBM Plex Sans"/>
          <w:sz w:val="20"/>
          <w:szCs w:val="20"/>
        </w:rPr>
      </w:r>
    </w:p>
    <w:p>
      <w:pPr>
        <w:pStyle w:val="Normal"/>
        <w:rPr>
          <w:rFonts w:ascii="IBM Plex Sans" w:hAnsi="IBM Plex Sans"/>
          <w:b/>
          <w:b/>
          <w:bCs/>
          <w:sz w:val="22"/>
          <w:szCs w:val="22"/>
        </w:rPr>
      </w:pPr>
      <w:r>
        <w:rPr>
          <w:rFonts w:ascii="IBM Plex Sans" w:hAnsi="IBM Plex Sans"/>
          <w:b/>
          <w:bCs/>
          <w:sz w:val="22"/>
          <w:szCs w:val="22"/>
        </w:rPr>
        <w:t>3.- SANIDAD. NÚMERO: 2023/4399B.</w:t>
      </w:r>
    </w:p>
    <w:p>
      <w:pPr>
        <w:pStyle w:val="Normal"/>
        <w:rPr>
          <w:rFonts w:ascii="IBM Plex Sans" w:hAnsi="IBM Plex Sans"/>
          <w:b/>
          <w:b/>
          <w:bCs/>
          <w:sz w:val="22"/>
          <w:szCs w:val="22"/>
        </w:rPr>
      </w:pPr>
      <w:r>
        <w:rPr>
          <w:rFonts w:ascii="IBM Plex Sans" w:hAnsi="IBM Plex Sans"/>
          <w:b/>
          <w:bCs/>
          <w:sz w:val="22"/>
          <w:szCs w:val="22"/>
        </w:rPr>
        <w:t>CONVENIO DE COLABORACIÓN CON EL COLEGIO OFICIAL DE VETERINARIOS DE LAS PALMAS.</w:t>
      </w:r>
    </w:p>
    <w:p>
      <w:pPr>
        <w:pStyle w:val="Normal"/>
        <w:rPr>
          <w:rFonts w:ascii="IBM Plex Sans" w:hAnsi="IBM Plex Sans"/>
          <w:sz w:val="22"/>
          <w:szCs w:val="22"/>
        </w:rPr>
      </w:pPr>
      <w:r>
        <w:rPr>
          <w:rFonts w:ascii="IBM Plex Sans" w:hAnsi="IBM Plex Sans"/>
          <w:sz w:val="22"/>
          <w:szCs w:val="22"/>
        </w:rPr>
        <w:t>Sometido a votación el punto referente a la aprobación del borrador del convenio de colaboración con el Colegio Oficial de Veterinarios de Las Palmas, el mismo es aprobado por unanimidad de los dieciséis asistentes.</w:t>
      </w:r>
    </w:p>
    <w:p>
      <w:pPr>
        <w:pStyle w:val="Normal"/>
        <w:rPr>
          <w:rFonts w:ascii="IBM Plex Sans" w:hAnsi="IBM Plex Sans"/>
          <w:sz w:val="20"/>
          <w:szCs w:val="20"/>
        </w:rPr>
      </w:pPr>
      <w:r>
        <w:rPr>
          <w:rFonts w:ascii="IBM Plex Sans" w:hAnsi="IBM Plex Sans"/>
          <w:sz w:val="20"/>
          <w:szCs w:val="20"/>
        </w:rPr>
      </w:r>
    </w:p>
    <w:p>
      <w:pPr>
        <w:pStyle w:val="Normal"/>
        <w:rPr>
          <w:rFonts w:ascii="IBM Plex Sans" w:hAnsi="IBM Plex Sans"/>
          <w:b/>
          <w:b/>
          <w:bCs/>
          <w:sz w:val="22"/>
          <w:szCs w:val="22"/>
        </w:rPr>
      </w:pPr>
      <w:r>
        <w:rPr>
          <w:rFonts w:ascii="IBM Plex Sans" w:hAnsi="IBM Plex Sans"/>
          <w:b/>
          <w:bCs/>
          <w:sz w:val="22"/>
          <w:szCs w:val="22"/>
        </w:rPr>
        <w:t>4.- ALCALDÍA. NÚMERO: 2023/5385P.</w:t>
      </w:r>
    </w:p>
    <w:p>
      <w:pPr>
        <w:pStyle w:val="Normal"/>
        <w:rPr>
          <w:rFonts w:ascii="IBM Plex Sans" w:hAnsi="IBM Plex Sans"/>
          <w:b/>
          <w:b/>
          <w:bCs/>
          <w:sz w:val="22"/>
          <w:szCs w:val="22"/>
        </w:rPr>
      </w:pPr>
      <w:r>
        <w:rPr>
          <w:rFonts w:ascii="IBM Plex Sans" w:hAnsi="IBM Plex Sans"/>
          <w:b/>
          <w:bCs/>
          <w:sz w:val="22"/>
          <w:szCs w:val="22"/>
        </w:rPr>
        <w:t>DECLARACIÓN INSTITUCIONAL “16 DE ABRIL, DÍA INTERNACIONAL CONTRA LA ESCLAVITUD INFANTIL”.</w:t>
      </w:r>
    </w:p>
    <w:p>
      <w:pPr>
        <w:pStyle w:val="Normal"/>
        <w:rPr>
          <w:rFonts w:ascii="IBM Plex Sans" w:hAnsi="IBM Plex Sans"/>
          <w:sz w:val="22"/>
          <w:szCs w:val="22"/>
        </w:rPr>
      </w:pPr>
      <w:r>
        <w:rPr>
          <w:rFonts w:ascii="IBM Plex Sans" w:hAnsi="IBM Plex Sans"/>
          <w:sz w:val="22"/>
          <w:szCs w:val="22"/>
        </w:rPr>
        <w:t>Sometido  a votación el punto referente a la aprobación de la declaración institucional “16 de abril, día internacional contra la esclavitud infantil”, el mismo es aprobado por unanimidad de los dieciséis asistentes.</w:t>
      </w:r>
    </w:p>
    <w:p>
      <w:pPr>
        <w:pStyle w:val="Normal"/>
        <w:rPr>
          <w:rFonts w:ascii="IBM Plex Sans" w:hAnsi="IBM Plex Sans"/>
          <w:sz w:val="20"/>
          <w:szCs w:val="20"/>
        </w:rPr>
      </w:pPr>
      <w:r>
        <w:rPr>
          <w:rFonts w:ascii="IBM Plex Sans" w:hAnsi="IBM Plex Sans"/>
          <w:sz w:val="20"/>
          <w:szCs w:val="20"/>
        </w:rPr>
      </w:r>
    </w:p>
    <w:p>
      <w:pPr>
        <w:pStyle w:val="Normal"/>
        <w:rPr>
          <w:rFonts w:ascii="IBM Plex Sans" w:hAnsi="IBM Plex Sans"/>
          <w:b/>
          <w:b/>
          <w:bCs/>
          <w:sz w:val="22"/>
          <w:szCs w:val="22"/>
        </w:rPr>
      </w:pPr>
      <w:r>
        <w:rPr>
          <w:rFonts w:ascii="IBM Plex Sans" w:hAnsi="IBM Plex Sans"/>
          <w:b/>
          <w:bCs/>
          <w:sz w:val="22"/>
          <w:szCs w:val="22"/>
        </w:rPr>
        <w:t xml:space="preserve">5.- SECRETARÍA GENERAL. NÚMERO: 2023/5570D. </w:t>
      </w:r>
    </w:p>
    <w:p>
      <w:pPr>
        <w:pStyle w:val="Normal"/>
        <w:rPr>
          <w:rFonts w:ascii="IBM Plex Sans" w:hAnsi="IBM Plex Sans"/>
          <w:b/>
          <w:b/>
          <w:bCs/>
          <w:sz w:val="22"/>
          <w:szCs w:val="22"/>
        </w:rPr>
      </w:pPr>
      <w:r>
        <w:rPr>
          <w:rFonts w:ascii="IBM Plex Sans" w:hAnsi="IBM Plex Sans"/>
          <w:b/>
          <w:bCs/>
          <w:sz w:val="22"/>
          <w:szCs w:val="22"/>
        </w:rPr>
        <w:t>MOCIÓN ROQUE AGUAYRO EN RELACIÓN A LA PROPUESTA DE APOYO DE EXPANSIÓN DE LA ESCUELA OFICIAL DE IDIOMAS EN AGÜIMES.</w:t>
      </w:r>
    </w:p>
    <w:p>
      <w:pPr>
        <w:pStyle w:val="Normal"/>
        <w:rPr>
          <w:rFonts w:ascii="IBM Plex Sans" w:hAnsi="IBM Plex Sans"/>
          <w:sz w:val="22"/>
          <w:szCs w:val="22"/>
        </w:rPr>
      </w:pPr>
      <w:r>
        <w:rPr>
          <w:rFonts w:ascii="IBM Plex Sans" w:hAnsi="IBM Plex Sans"/>
          <w:sz w:val="22"/>
          <w:szCs w:val="22"/>
        </w:rPr>
        <w:t xml:space="preserve">Sometido a votación el punto referente a la moción del Grupo Roque Aguayro en relación a la propuesta de apoyo de expansión de la Escuela Oficial de Idiomas en Agüimes, el mismo es aprobado por unanimidad de los dieciséis asistentes. </w:t>
      </w:r>
    </w:p>
    <w:p>
      <w:pPr>
        <w:pStyle w:val="Normal"/>
        <w:rPr>
          <w:rFonts w:ascii="IBM Plex Sans" w:hAnsi="IBM Plex Sans"/>
          <w:sz w:val="20"/>
          <w:szCs w:val="20"/>
        </w:rPr>
      </w:pPr>
      <w:r>
        <w:rPr>
          <w:rFonts w:ascii="IBM Plex Sans" w:hAnsi="IBM Plex Sans"/>
          <w:sz w:val="20"/>
          <w:szCs w:val="20"/>
        </w:rPr>
      </w:r>
    </w:p>
    <w:p>
      <w:pPr>
        <w:pStyle w:val="Normal"/>
        <w:rPr>
          <w:rFonts w:ascii="IBM Plex Sans" w:hAnsi="IBM Plex Sans"/>
          <w:b/>
          <w:b/>
          <w:bCs/>
          <w:sz w:val="22"/>
          <w:szCs w:val="22"/>
        </w:rPr>
      </w:pPr>
      <w:r>
        <w:rPr>
          <w:rFonts w:ascii="IBM Plex Sans" w:hAnsi="IBM Plex Sans"/>
          <w:b/>
          <w:bCs/>
          <w:sz w:val="22"/>
          <w:szCs w:val="22"/>
        </w:rPr>
        <w:t>6.- DACIÓN DE CUENTA DECRETOS DE LA ALCALDÍA, ACTAS DE LA JUNTA DE GOBIERNO LOCAL Y ACTAS DE LA JUNTA GENERAL DE LA MANCOMUNIDAD.</w:t>
      </w:r>
    </w:p>
    <w:p>
      <w:pPr>
        <w:pStyle w:val="Normal"/>
        <w:rPr>
          <w:rFonts w:ascii="IBM Plex Sans" w:hAnsi="IBM Plex Sans"/>
          <w:sz w:val="22"/>
          <w:szCs w:val="22"/>
        </w:rPr>
      </w:pPr>
      <w:r>
        <w:rPr>
          <w:rFonts w:cs="Times New Roman" w:ascii="IBM Plex Sans" w:hAnsi="IBM Plex Sans"/>
          <w:sz w:val="22"/>
          <w:szCs w:val="22"/>
          <w:lang w:eastAsia="en-US" w:bidi="ar-SA"/>
        </w:rPr>
        <w:t>El Sr. Alcalde</w:t>
      </w:r>
      <w:r>
        <w:rPr>
          <w:rFonts w:cs="Verdana" w:ascii="IBM Plex Sans" w:hAnsi="IBM Plex Sans"/>
          <w:sz w:val="22"/>
          <w:szCs w:val="22"/>
        </w:rPr>
        <w:t xml:space="preserve"> da cuenta de las actas de la Junta de Gobierno Local, celebradas desde el día 13 de marzo de 2023 al 3 de abril de 2023, y de los Decretos de la Alcaldía desde el 2023/814 al 2023/1235.  No hubo actas de la Junta General de la Mancomunidad.</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Candara">
    <w:charset w:val="00"/>
    <w:family w:val="roman"/>
    <w:pitch w:val="variable"/>
  </w:font>
  <w:font w:name="Bookman Old Style">
    <w:charset w:val="00"/>
    <w:family w:val="roman"/>
    <w:pitch w:val="variable"/>
  </w:font>
  <w:font w:name="Arial">
    <w:charset w:val="00"/>
    <w:family w:val="roman"/>
    <w:pitch w:val="variable"/>
  </w:font>
  <w:font w:name="IBM Plex Sans">
    <w:charset w:val="00"/>
    <w:family w:val="roman"/>
    <w:pitch w:val="variable"/>
  </w:font>
  <w:font w:name="SymbolMT">
    <w:charset w:val="00"/>
    <w:family w:val="roman"/>
    <w:pitch w:val="variable"/>
  </w:font>
  <w:font w:name="Liberation Sans">
    <w:altName w:val="Arial"/>
    <w:charset w:val="00"/>
    <w:family w:val="swiss"/>
    <w:pitch w:val="variable"/>
  </w:font>
  <w:font w:name="Calibri">
    <w:charset w:val="00"/>
    <w:family w:val="swiss"/>
    <w:pitch w:val="variable"/>
  </w:font>
  <w:font w:name="Helvetica Neue">
    <w:altName w:val="Times New Roman"/>
    <w:charset w:val="00"/>
    <w:family w:val="swiss"/>
    <w:pitch w:val="default"/>
  </w:font>
  <w:font w:name="Arial Narrow">
    <w:charset w:val="00"/>
    <w:family w:val="roman"/>
    <w:pitch w:val="variable"/>
  </w:font>
  <w:font w:name="Roboto Slab">
    <w:charset w:val="00"/>
    <w:family w:val="swiss"/>
    <w:pitch w:val="variable"/>
  </w:font>
  <w:font w:name="Roboto Slab">
    <w:charset w:val="00"/>
    <w:family w:val="roman"/>
    <w:pitch w:val="variable"/>
  </w:font>
  <w:font w:name="Verdana">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-1056640</wp:posOffset>
          </wp:positionH>
          <wp:positionV relativeFrom="paragraph">
            <wp:posOffset>-425450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9z0">
    <w:name w:val="WW8Num19z0"/>
    <w:qFormat/>
    <w:rPr>
      <w:b/>
    </w:rPr>
  </w:style>
  <w:style w:type="character" w:styleId="WW8Num22z0">
    <w:name w:val="WW8Num22z0"/>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St">
    <w:name w:val="st"/>
    <w:qFormat/>
    <w:rPr/>
  </w:style>
  <w:style w:type="character" w:styleId="TextoindependienteCar1">
    <w:name w:val="Texto independiente Car1"/>
    <w:qFormat/>
    <w:rPr>
      <w:rFonts w:eastAsia="Calibri"/>
      <w:lang w:eastAsia="es-ES"/>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Linktodoc">
    <w:name w:val="linktodoc"/>
    <w:qFormat/>
    <w:rPr/>
  </w:style>
  <w:style w:type="character" w:styleId="Nt">
    <w:name w:val="nt"/>
    <w:qFormat/>
    <w:rPr/>
  </w:style>
  <w:style w:type="character" w:styleId="FontStyle15">
    <w:name w:val="Font Style15"/>
    <w:qFormat/>
    <w:rPr>
      <w:rFonts w:ascii="Times New Roman" w:hAnsi="Times New Roman" w:eastAsia="Times New Roman"/>
      <w:color w:val="000000"/>
      <w:sz w:val="18"/>
    </w:rPr>
  </w:style>
  <w:style w:type="character" w:styleId="FontStyle17">
    <w:name w:val="Font Style17"/>
    <w:qFormat/>
    <w:rPr>
      <w:rFonts w:ascii="Candara" w:hAnsi="Candara" w:eastAsia="Candara"/>
      <w:color w:val="000000"/>
      <w:sz w:val="18"/>
    </w:rPr>
  </w:style>
  <w:style w:type="character" w:styleId="FontStyle21">
    <w:name w:val="Font Style21"/>
    <w:qFormat/>
    <w:rPr>
      <w:rFonts w:ascii="Bookman Old Style" w:hAnsi="Bookman Old Style" w:eastAsia="Bookman Old Style"/>
      <w:color w:val="000000"/>
      <w:sz w:val="8"/>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1z2">
    <w:name w:val="WW8Num11z2"/>
    <w:qFormat/>
    <w:rPr/>
  </w:style>
  <w:style w:type="character" w:styleId="TextonotapieCar">
    <w:name w:val="Texto nota pie Car"/>
    <w:qFormat/>
    <w:rPr>
      <w:rFonts w:eastAsia="Times New Roman"/>
    </w:rPr>
  </w:style>
  <w:style w:type="character" w:styleId="Feact">
    <w:name w:val="feact"/>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CuerpodeltextoExact">
    <w:name w:val="Cuerpo del texto Exact"/>
    <w:qFormat/>
    <w:rPr>
      <w:rFonts w:ascii="Tahoma" w:hAnsi="Tahoma" w:eastAsia="Tahoma"/>
      <w:b w:val="false"/>
      <w:bCs w:val="false"/>
      <w:i w:val="false"/>
      <w:iCs w:val="false"/>
      <w:caps w:val="false"/>
      <w:smallCaps w:val="false"/>
      <w:strike w:val="false"/>
      <w:dstrike w:val="false"/>
      <w:spacing w:val="-2"/>
      <w:sz w:val="20"/>
      <w:szCs w:val="20"/>
      <w:u w:val="none"/>
    </w:rPr>
  </w:style>
  <w:style w:type="character" w:styleId="FontStyle25">
    <w:name w:val="Font Style25"/>
    <w:qFormat/>
    <w:rPr>
      <w:rFonts w:ascii="Bookman Old Style" w:hAnsi="Bookman Old Style" w:eastAsia="Bookman Old Style"/>
      <w:b/>
      <w:bCs/>
      <w:i/>
      <w:iCs/>
      <w:color w:val="000000"/>
      <w:sz w:val="22"/>
      <w:szCs w:val="22"/>
    </w:rPr>
  </w:style>
  <w:style w:type="character" w:styleId="FontStyle24">
    <w:name w:val="Font Style24"/>
    <w:qFormat/>
    <w:rPr>
      <w:rFonts w:ascii="Bookman Old Style" w:hAnsi="Bookman Old Style" w:eastAsia="Bookman Old Style"/>
      <w:b/>
      <w:bCs/>
      <w:color w:val="000000"/>
      <w:sz w:val="22"/>
      <w:szCs w:val="22"/>
    </w:rPr>
  </w:style>
  <w:style w:type="character" w:styleId="Hgkelc">
    <w:name w:val="hgkelc"/>
    <w:qFormat/>
    <w:rPr/>
  </w:style>
  <w:style w:type="character" w:styleId="Markedcontent">
    <w:name w:val="markedcontent"/>
    <w:qFormat/>
    <w:rPr/>
  </w:style>
  <w:style w:type="character" w:styleId="Anothrefnottabindex">
    <w:name w:val="a_not([|href])_not([|tabindex])"/>
    <w:qFormat/>
    <w:rPr/>
  </w:style>
  <w:style w:type="character" w:styleId="Strong">
    <w:name w:val="strong"/>
    <w:qFormat/>
    <w:rPr>
      <w:b/>
    </w:rPr>
  </w:style>
  <w:style w:type="character" w:styleId="Documentoa">
    <w:name w:val="documento_a"/>
    <w:qFormat/>
    <w:rPr>
      <w:color w:val="808CBC"/>
    </w:rPr>
  </w:style>
  <w:style w:type="character" w:styleId="WW8NumSt41z0">
    <w:name w:val="WW8NumSt41z0"/>
    <w:qFormat/>
    <w:rPr>
      <w:rFonts w:eastAsia="Arial Unicode MS"/>
      <w:caps w:val="false"/>
      <w:smallCaps w:val="false"/>
      <w:strike w:val="false"/>
      <w:dstrike w:val="false"/>
      <w:outline w:val="false"/>
      <w:spacing w:val="0"/>
      <w:w w:val="100"/>
      <w:kern w:val="0"/>
      <w:szCs w:val="29"/>
      <w:lang w:eastAsia="es-ES_tradnl"/>
    </w:rPr>
  </w:style>
  <w:style w:type="character" w:styleId="WW8NumSt40z0">
    <w:name w:val="WW8NumSt40z0"/>
    <w:qFormat/>
    <w:rPr>
      <w:rFonts w:eastAsia="Times New Roman"/>
      <w:iCs/>
      <w:caps w:val="false"/>
      <w:smallCaps w:val="false"/>
      <w:strike w:val="false"/>
      <w:dstrike w:val="false"/>
      <w:outline w:val="false"/>
      <w:spacing w:val="0"/>
      <w:w w:val="100"/>
      <w:kern w:val="0"/>
    </w:rPr>
  </w:style>
  <w:style w:type="character" w:styleId="Ninguno">
    <w:name w:val="Ninguno"/>
    <w:qFormat/>
    <w:rPr>
      <w:lang w:val="es-ES_tradnl"/>
    </w:rPr>
  </w:style>
  <w:style w:type="character" w:styleId="WW8Num46z1">
    <w:name w:val="WW8Num46z1"/>
    <w:qFormat/>
    <w:rPr>
      <w:rFonts w:ascii="Courier New" w:hAnsi="Courier New" w:eastAsia="Courier New"/>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52z8">
    <w:name w:val="WW8Num52z8"/>
    <w:qFormat/>
    <w:rPr/>
  </w:style>
  <w:style w:type="character" w:styleId="WW8Num52z7">
    <w:name w:val="WW8Num52z7"/>
    <w:qFormat/>
    <w:rPr/>
  </w:style>
  <w:style w:type="character" w:styleId="WW8Num52z6">
    <w:name w:val="WW8Num52z6"/>
    <w:qFormat/>
    <w:rPr/>
  </w:style>
  <w:style w:type="character" w:styleId="WW8Num52z5">
    <w:name w:val="WW8Num52z5"/>
    <w:qFormat/>
    <w:rPr/>
  </w:style>
  <w:style w:type="character" w:styleId="WW8Num52z4">
    <w:name w:val="WW8Num52z4"/>
    <w:qFormat/>
    <w:rPr/>
  </w:style>
  <w:style w:type="character" w:styleId="WW8Num52z3">
    <w:name w:val="WW8Num52z3"/>
    <w:qFormat/>
    <w:rPr/>
  </w:style>
  <w:style w:type="character" w:styleId="WW8Num52z2">
    <w:name w:val="WW8Num52z2"/>
    <w:qFormat/>
    <w:rPr/>
  </w:style>
  <w:style w:type="character" w:styleId="WW8Num52z1">
    <w:name w:val="WW8Num52z1"/>
    <w:qFormat/>
    <w:rPr/>
  </w:style>
  <w:style w:type="character" w:styleId="WW8Num52z0">
    <w:name w:val="WW8Num52z0"/>
    <w:qFormat/>
    <w:rPr>
      <w:rFonts w:ascii="IBM Plex Sans" w:hAnsi="IBM Plex Sans" w:eastAsia="Tunga"/>
      <w:sz w:val="22"/>
      <w:szCs w:val="22"/>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0z1">
    <w:name w:val="WW8Num50z1"/>
    <w:qFormat/>
    <w:rPr>
      <w:rFonts w:ascii="IBM Plex Sans" w:hAnsi="IBM Plex Sans" w:eastAsia="Tunga"/>
      <w:sz w:val="22"/>
      <w:szCs w:val="22"/>
    </w:rPr>
  </w:style>
  <w:style w:type="character" w:styleId="WW8Num50z0">
    <w:name w:val="WW8Num50z0"/>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42z1">
    <w:name w:val="WW8Num42z1"/>
    <w:qFormat/>
    <w:rPr>
      <w:rFonts w:ascii="Courier New" w:hAnsi="Courier New" w:eastAsia="Courier New"/>
    </w:rPr>
  </w:style>
  <w:style w:type="character" w:styleId="WW8Num44z1">
    <w:name w:val="WW8Num44z1"/>
    <w:qFormat/>
    <w:rPr>
      <w:rFonts w:ascii="Courier New" w:hAnsi="Courier New" w:eastAsia="Courier New"/>
      <w:sz w:val="20"/>
      <w:szCs w:val="20"/>
    </w:rPr>
  </w:style>
  <w:style w:type="character" w:styleId="WW8Num45z0">
    <w:name w:val="WW8Num45z0"/>
    <w:qFormat/>
    <w:rPr>
      <w:rFonts w:eastAsia="Arial"/>
      <w:color w:val="000000"/>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IBM Plex Sans" w:hAnsi="IBM Plex Sans" w:eastAsia="Times New Roman"/>
    </w:rPr>
  </w:style>
  <w:style w:type="character" w:styleId="WW8Num47z0">
    <w:name w:val="WW8Num47z0"/>
    <w:qFormat/>
    <w:rPr>
      <w:rFonts w:ascii="SymbolMT" w:hAnsi="SymbolMT" w:eastAsia="SymbolMT"/>
      <w:i w:val="false"/>
      <w:sz w:val="20"/>
      <w:szCs w:val="20"/>
    </w:rPr>
  </w:style>
  <w:style w:type="character" w:styleId="WW8Num47z1">
    <w:name w:val="WW8Num47z1"/>
    <w:qFormat/>
    <w:rPr>
      <w:rFonts w:ascii="Courier New" w:hAnsi="Courier New" w:eastAsia="Courier New"/>
    </w:rPr>
  </w:style>
  <w:style w:type="character" w:styleId="Style3Car">
    <w:name w:val="Style3 Car"/>
    <w:qFormat/>
    <w:rPr>
      <w:rFonts w:ascii="Candara" w:hAnsi="Candara" w:eastAsia="Candara"/>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Pa9">
    <w:name w:val="Pa9"/>
    <w:basedOn w:val="Normal"/>
    <w:qFormat/>
    <w:pPr>
      <w:widowControl/>
      <w:spacing w:lineRule="atLeast" w:line="201"/>
    </w:pPr>
    <w:rPr>
      <w:rFonts w:ascii="Arial" w:hAnsi="Arial" w:eastAsia="Arial"/>
    </w:rPr>
  </w:style>
  <w:style w:type="paragraph" w:styleId="Textoindependienteprimerasangra">
    <w:name w:val="Texto independiente primera sangría"/>
    <w:qFormat/>
    <w:pPr>
      <w:widowControl/>
      <w:suppressAutoHyphens w:val="true"/>
      <w:kinsoku w:val="true"/>
      <w:overflowPunct w:val="true"/>
      <w:autoSpaceDE w:val="true"/>
      <w:bidi w:val="0"/>
      <w:spacing w:before="0" w:after="120"/>
      <w:ind w:left="0" w:right="0" w:firstLine="210"/>
    </w:pPr>
    <w:rPr>
      <w:rFonts w:ascii="Times New Roman" w:hAnsi="Times New Roman" w:eastAsia="0" w:cs="Liberation Serif"/>
      <w:color w:val="auto"/>
      <w:kern w:val="2"/>
      <w:sz w:val="24"/>
      <w:szCs w:val="24"/>
      <w:lang w:val="es-ES" w:eastAsia="hi-IN" w:bidi="hi-IN"/>
    </w:rPr>
  </w:style>
  <w:style w:type="paragraph" w:styleId="Textoindependiente21">
    <w:name w:val="Texto independiente 21"/>
    <w:basedOn w:val="Normal"/>
    <w:qFormat/>
    <w:pPr>
      <w:spacing w:lineRule="exact" w:line="480" w:before="0" w:after="120"/>
    </w:pPr>
    <w:rPr>
      <w:rFonts w:ascii="Times New Roman" w:hAnsi="Times New Roman" w:eastAsia="Times New Roman"/>
      <w:lang w:val="zxx"/>
    </w:rPr>
  </w:style>
  <w:style w:type="paragraph" w:styleId="Textoindependiente22">
    <w:name w:val="Texto independiente 22"/>
    <w:basedOn w:val="Normal"/>
    <w:qFormat/>
    <w:pPr>
      <w:widowControl/>
      <w:spacing w:lineRule="exact" w:line="480" w:before="0" w:after="120"/>
    </w:pPr>
    <w:rPr>
      <w:rFonts w:ascii="Times New Roman" w:hAnsi="Times New Roman" w:eastAsia="Times New Roman"/>
    </w:rPr>
  </w:style>
  <w:style w:type="paragraph" w:styleId="BodyText3">
    <w:name w:val="Body Text 3"/>
    <w:basedOn w:val="Normal"/>
    <w:qFormat/>
    <w:pPr/>
    <w:rPr>
      <w:rFonts w:ascii="Times New Roman" w:hAnsi="Times New Roman" w:eastAsia="Times New Roman"/>
    </w:rPr>
  </w:style>
  <w:style w:type="paragraph" w:styleId="Justificado">
    <w:name w:val="justificado"/>
    <w:basedOn w:val="Normal"/>
    <w:qFormat/>
    <w:pPr>
      <w:widowControl/>
      <w:spacing w:before="280" w:after="280"/>
    </w:pPr>
    <w:rPr>
      <w:rFonts w:ascii="Times New Roman" w:hAnsi="Times New Roman" w:eastAsia="Times New Roman"/>
    </w:rPr>
  </w:style>
  <w:style w:type="paragraph" w:styleId="Textodebloque">
    <w:name w:val="Texto de bloque"/>
    <w:basedOn w:val="Normal"/>
    <w:qFormat/>
    <w:pPr>
      <w:widowControl/>
      <w:ind w:left="2268" w:right="363" w:hanging="1559"/>
    </w:pPr>
    <w:rPr>
      <w:rFonts w:ascii="Times New Roman" w:hAnsi="Times New Roman" w:eastAsia="Times New Roman"/>
      <w:szCs w:val="20"/>
    </w:rPr>
  </w:style>
  <w:style w:type="paragraph" w:styleId="Normal3">
    <w:name w:val="Normal+3"/>
    <w:qFormat/>
    <w:pPr>
      <w:widowControl/>
      <w:suppressAutoHyphens w:val="true"/>
      <w:kinsoku w:val="true"/>
      <w:overflowPunct w:val="true"/>
      <w:autoSpaceDE w:val="true"/>
      <w:bidi w:val="0"/>
    </w:pPr>
    <w:rPr>
      <w:rFonts w:ascii="Arial" w:hAnsi="Arial" w:eastAsia="0" w:cs="Liberation Serif"/>
      <w:color w:val="000000"/>
      <w:kern w:val="2"/>
      <w:sz w:val="24"/>
      <w:szCs w:val="24"/>
      <w:lang w:val="es-ES" w:eastAsia="hi-IN" w:bidi="hi-IN"/>
    </w:rPr>
  </w:style>
  <w:style w:type="paragraph" w:styleId="A">
    <w:name w:val="a"/>
    <w:basedOn w:val="Normal"/>
    <w:qFormat/>
    <w:pPr>
      <w:widowControl/>
      <w:spacing w:before="280" w:after="280"/>
    </w:pPr>
    <w:rPr>
      <w:rFonts w:ascii="Times New Roman" w:hAnsi="Times New Roman" w:eastAsia="Times New Roman"/>
    </w:rPr>
  </w:style>
  <w:style w:type="paragraph" w:styleId="Parrafo">
    <w:name w:val="parrafo"/>
    <w:basedOn w:val="Normal"/>
    <w:qFormat/>
    <w:pPr>
      <w:widowControl/>
      <w:spacing w:before="280" w:after="280"/>
    </w:pPr>
    <w:rPr>
      <w:rFonts w:ascii="Times New Roman" w:hAnsi="Times New Roman" w:eastAsia="Times New Roman"/>
    </w:rPr>
  </w:style>
  <w:style w:type="paragraph" w:styleId="Style71">
    <w:name w:val="Style7"/>
    <w:basedOn w:val="Normal"/>
    <w:qFormat/>
    <w:pPr/>
    <w:rPr>
      <w:rFonts w:ascii="Candara" w:hAnsi="Candara" w:eastAsia="Candara"/>
    </w:rPr>
  </w:style>
  <w:style w:type="paragraph" w:styleId="Style21">
    <w:name w:val="Style2"/>
    <w:basedOn w:val="Normal"/>
    <w:qFormat/>
    <w:pPr/>
    <w:rPr>
      <w:rFonts w:ascii="Candara" w:hAnsi="Candara" w:eastAsia="Candara"/>
    </w:rPr>
  </w:style>
  <w:style w:type="paragraph" w:styleId="Style61">
    <w:name w:val="Style6"/>
    <w:basedOn w:val="Normal"/>
    <w:qFormat/>
    <w:pPr/>
    <w:rPr>
      <w:rFonts w:ascii="Candara" w:hAnsi="Candara" w:eastAsia="Candar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jc w:val="left"/>
    </w:pPr>
    <w:rPr>
      <w:rFonts w:ascii="Calibri" w:hAnsi="Calibri" w:eastAsia="Liberation Serif" w:cs="Liberation Serif"/>
      <w:color w:val="auto"/>
      <w:kern w:val="2"/>
      <w:sz w:val="22"/>
      <w:szCs w:val="22"/>
      <w:lang w:val="es-ES" w:eastAsia="hi-IN" w:bidi="hi-IN"/>
    </w:rPr>
  </w:style>
  <w:style w:type="paragraph" w:styleId="Articulo">
    <w:name w:val="articulo"/>
    <w:basedOn w:val="Normal"/>
    <w:qFormat/>
    <w:pPr>
      <w:widowControl/>
      <w:spacing w:before="280" w:after="280"/>
    </w:pPr>
    <w:rPr>
      <w:rFonts w:ascii="Times New Roman" w:hAnsi="Times New Roman" w:eastAsia="Times New Roman"/>
    </w:rPr>
  </w:style>
  <w:style w:type="paragraph" w:styleId="Xl2">
    <w:name w:val="xl2"/>
    <w:basedOn w:val="Normal"/>
    <w:qFormat/>
    <w:pPr>
      <w:widowControl/>
      <w:spacing w:before="0" w:after="240"/>
      <w:ind w:left="525" w:right="75" w:hanging="225"/>
    </w:pPr>
    <w:rPr>
      <w:rFonts w:ascii="Times New Roman" w:hAnsi="Times New Roman" w:eastAsia="Times New Roman"/>
    </w:rPr>
  </w:style>
  <w:style w:type="paragraph" w:styleId="Encabezado2">
    <w:name w:val="Encabezado2"/>
    <w:basedOn w:val="Normal"/>
    <w:qFormat/>
    <w:pPr>
      <w:widowControl/>
    </w:pPr>
    <w:rPr>
      <w:rFonts w:ascii="Tele-GroteskNor" w:hAnsi="Tele-GroteskNor" w:eastAsia="Tele-GroteskNor"/>
    </w:rPr>
  </w:style>
  <w:style w:type="paragraph" w:styleId="ListParagraph">
    <w:name w:val="List Paragraph"/>
    <w:basedOn w:val="Normal"/>
    <w:qFormat/>
    <w:pPr>
      <w:widowControl/>
      <w:spacing w:lineRule="exact" w:line="276" w:before="0" w:after="200"/>
      <w:ind w:left="720" w:right="0" w:hanging="0"/>
      <w:contextualSpacing/>
    </w:pPr>
    <w:rPr>
      <w:rFonts w:eastAsia="Times New Roman"/>
    </w:rPr>
  </w:style>
  <w:style w:type="paragraph" w:styleId="Prrafodelista11">
    <w:name w:val="Párrafo de lista_1"/>
    <w:basedOn w:val="Normal"/>
    <w:qFormat/>
    <w:pPr>
      <w:widowControl/>
      <w:spacing w:lineRule="exact" w:line="276" w:before="0" w:after="200"/>
      <w:ind w:left="720" w:right="0" w:hanging="0"/>
      <w:contextualSpacing/>
    </w:pPr>
    <w:rPr>
      <w:rFonts w:eastAsia="Times New Roman"/>
    </w:rPr>
  </w:style>
  <w:style w:type="paragraph" w:styleId="Prrafodelista00">
    <w:name w:val="Párrafo de lista_0_0"/>
    <w:basedOn w:val="Normal"/>
    <w:qFormat/>
    <w:pPr>
      <w:ind w:left="196" w:right="0" w:hanging="352"/>
    </w:pPr>
    <w:rPr>
      <w:rFonts w:ascii="Arial" w:hAnsi="Arial"/>
    </w:rPr>
  </w:style>
  <w:style w:type="paragraph" w:styleId="Textoindependiente0">
    <w:name w:val="Texto independiente_0"/>
    <w:basedOn w:val="Normal"/>
    <w:qFormat/>
    <w:pPr>
      <w:widowControl/>
      <w:spacing w:lineRule="exact" w:line="276" w:before="0" w:after="120"/>
    </w:pPr>
    <w:rPr>
      <w:rFonts w:eastAsia="Times New Roman"/>
    </w:rPr>
  </w:style>
  <w:style w:type="paragraph" w:styleId="Encabezado10">
    <w:name w:val="Encabezado1_0"/>
    <w:basedOn w:val="Normal"/>
    <w:qFormat/>
    <w:pPr>
      <w:keepNext w:val="true"/>
      <w:widowControl/>
      <w:spacing w:lineRule="exact" w:line="276" w:before="240" w:after="120"/>
    </w:pPr>
    <w:rPr>
      <w:rFonts w:ascii="Arial" w:hAnsi="Arial" w:eastAsia="Mangal"/>
      <w:sz w:val="28"/>
      <w:szCs w:val="28"/>
    </w:rPr>
  </w:style>
  <w:style w:type="paragraph" w:styleId="Prrafodelista0">
    <w:name w:val="Párrafo de lista_0"/>
    <w:basedOn w:val="Normal"/>
    <w:qFormat/>
    <w:pPr>
      <w:ind w:left="196" w:right="0" w:hanging="352"/>
    </w:pPr>
    <w:rPr>
      <w:rFonts w:ascii="Arial" w:hAnsi="Arial"/>
    </w:rPr>
  </w:style>
  <w:style w:type="paragraph" w:styleId="Lista0">
    <w:name w:val="Lista_0"/>
    <w:qFormat/>
    <w:pPr>
      <w:widowControl/>
      <w:kinsoku w:val="true"/>
      <w:overflowPunct w:val="true"/>
      <w:autoSpaceDE w:val="true"/>
      <w:bidi w:val="0"/>
      <w:spacing w:lineRule="exact" w:line="276" w:before="0" w:after="120"/>
    </w:pPr>
    <w:rPr>
      <w:rFonts w:eastAsia="Mangal" w:ascii="Liberation Serif" w:hAnsi="Liberation Serif" w:cs="Arial"/>
      <w:color w:val="auto"/>
      <w:sz w:val="22"/>
      <w:szCs w:val="22"/>
      <w:lang w:val="es-ES" w:eastAsia="zh-CN" w:bidi="hi-IN"/>
    </w:rPr>
  </w:style>
  <w:style w:type="paragraph" w:styleId="Cuerpo">
    <w:name w:val="Cuerpo"/>
    <w:qFormat/>
    <w:pPr>
      <w:widowControl/>
      <w:kinsoku w:val="true"/>
      <w:overflowPunct w:val="true"/>
      <w:autoSpaceDE w:val="true"/>
      <w:bidi w:val="0"/>
    </w:pPr>
    <w:rPr>
      <w:rFonts w:ascii="Helvetica Neue;Times New Roman" w:hAnsi="Helvetica Neue;Times New Roman" w:eastAsia="Arial Unicode MS" w:cs="Arial Unicode MS"/>
      <w:color w:val="000000"/>
      <w:sz w:val="22"/>
      <w:szCs w:val="22"/>
      <w:lang w:val="es-ES_tradnl" w:bidi="ar-SA" w:eastAsia="zh-CN"/>
    </w:rPr>
  </w:style>
  <w:style w:type="paragraph" w:styleId="Style31">
    <w:name w:val="Style3"/>
    <w:basedOn w:val="Normal"/>
    <w:qFormat/>
    <w:pPr/>
    <w:rPr>
      <w:rFonts w:ascii="Candara" w:hAnsi="Candara" w:eastAsia="Candara"/>
    </w:rPr>
  </w:style>
  <w:style w:type="paragraph" w:styleId="Simpleizquierda">
    <w:name w:val="simple izquierda"/>
    <w:basedOn w:val="Normal"/>
    <w:qFormat/>
    <w:pPr>
      <w:widowControl/>
      <w:spacing w:before="280" w:after="280"/>
    </w:pPr>
    <w:rPr>
      <w:rFonts w:ascii="Times New Roman" w:hAnsi="Times New Roman" w:eastAsia="Times New Roman"/>
    </w:rPr>
  </w:style>
  <w:style w:type="paragraph" w:styleId="Any">
    <w:name w:val="any"/>
    <w:basedOn w:val="Normal"/>
    <w:qFormat/>
    <w:pPr>
      <w:widowControl/>
    </w:pPr>
    <w:rPr>
      <w:rFonts w:ascii="Times New Roman" w:hAnsi="Times New Roman" w:eastAsia="Times New Roman"/>
    </w:rPr>
  </w:style>
  <w:style w:type="paragraph" w:styleId="Contentdocumentsp">
    <w:name w:val="content-documents_p"/>
    <w:basedOn w:val="Normal"/>
    <w:qFormat/>
    <w:pPr>
      <w:widowControl/>
    </w:pPr>
    <w:rPr>
      <w:rFonts w:ascii="Times New Roman" w:hAnsi="Times New Roman" w:eastAsia="Times New Roman"/>
    </w:rPr>
  </w:style>
  <w:style w:type="paragraph" w:styleId="NormalWeb1">
    <w:name w:val="Normal (Web)1"/>
    <w:qFormat/>
    <w:pPr>
      <w:widowControl/>
      <w:suppressAutoHyphens w:val="true"/>
      <w:kinsoku w:val="true"/>
      <w:overflowPunct w:val="true"/>
      <w:autoSpaceDE w:val="true"/>
      <w:bidi w:val="0"/>
      <w:spacing w:before="100" w:after="119"/>
      <w:jc w:val="left"/>
    </w:pPr>
    <w:rPr>
      <w:rFonts w:ascii="Times New Roman" w:hAnsi="Times New Roman" w:eastAsia="Arial Unicode MS" w:cs="Liberation Serif"/>
      <w:color w:val="000000"/>
      <w:kern w:val="2"/>
      <w:sz w:val="24"/>
      <w:szCs w:val="24"/>
      <w:lang w:val="es-ES_tradnl" w:eastAsia="zh-CN" w:bidi="hi-IN"/>
    </w:rPr>
  </w:style>
  <w:style w:type="paragraph" w:styleId="Heading11">
    <w:name w:val="Heading 11"/>
    <w:basedOn w:val="Normal"/>
    <w:qFormat/>
    <w:pPr>
      <w:spacing w:before="217" w:after="0"/>
      <w:ind w:left="101" w:right="0" w:hanging="0"/>
    </w:pPr>
    <w:rPr>
      <w:rFonts w:ascii="Arial" w:hAnsi="Arial"/>
      <w:b/>
      <w:bCs/>
    </w:rPr>
  </w:style>
  <w:style w:type="paragraph" w:styleId="CarCar11">
    <w:name w:val="Car Car1"/>
    <w:basedOn w:val="Normal"/>
    <w:qFormat/>
    <w:pPr>
      <w:widowControl/>
      <w:spacing w:lineRule="exact" w:line="240" w:before="0" w:after="160"/>
    </w:pPr>
    <w:rPr>
      <w:rFonts w:ascii="Tahoma" w:hAnsi="Tahoma" w:eastAsia="Times New Roman"/>
      <w:sz w:val="20"/>
      <w:szCs w:val="20"/>
      <w:lang w:val="en-US"/>
    </w:rPr>
  </w:style>
  <w:style w:type="paragraph" w:styleId="Style12">
    <w:name w:val="Style1"/>
    <w:basedOn w:val="Normal"/>
    <w:qFormat/>
    <w:pPr/>
    <w:rPr>
      <w:rFonts w:ascii="Candara" w:hAnsi="Candara" w:eastAsia="Candara"/>
    </w:rPr>
  </w:style>
  <w:style w:type="paragraph" w:styleId="Imagencorporativa">
    <w:name w:val="Imagen corporativa"/>
    <w:basedOn w:val="Normal"/>
    <w:qFormat/>
    <w:pPr>
      <w:widowControl/>
      <w:spacing w:before="0" w:after="320"/>
      <w:ind w:left="1191" w:right="0" w:firstLine="737"/>
    </w:pPr>
    <w:rPr>
      <w:rFonts w:ascii="Arial" w:hAnsi="Arial"/>
    </w:rPr>
  </w:style>
  <w:style w:type="paragraph" w:styleId="Ttulo20">
    <w:name w:val="Título 2_0"/>
    <w:basedOn w:val="Normal"/>
    <w:qFormat/>
    <w:pPr>
      <w:keepNext w:val="true"/>
      <w:spacing w:before="240" w:after="60"/>
    </w:pPr>
    <w:rPr>
      <w:rFonts w:ascii="Arial" w:hAnsi="Arial"/>
      <w:b/>
      <w:bCs/>
      <w:i/>
      <w:iCs/>
      <w:sz w:val="28"/>
      <w:szCs w:val="28"/>
    </w:rPr>
  </w:style>
  <w:style w:type="paragraph" w:styleId="Parrafo2">
    <w:name w:val="parrafo_2"/>
    <w:basedOn w:val="Normal"/>
    <w:qFormat/>
    <w:pPr>
      <w:widowControl/>
      <w:spacing w:before="280" w:after="280"/>
    </w:pPr>
    <w:rPr>
      <w:rFonts w:ascii="Times New Roman" w:hAnsi="Times New Roman" w:eastAsia="Times New Roman"/>
    </w:rPr>
  </w:style>
  <w:style w:type="paragraph" w:styleId="Ttulo10">
    <w:name w:val="Título 1_0"/>
    <w:basedOn w:val="Normal"/>
    <w:qFormat/>
    <w:pPr>
      <w:keepNext w:val="true"/>
      <w:widowControl/>
      <w:spacing w:before="240" w:after="60"/>
    </w:pPr>
    <w:rPr>
      <w:rFonts w:ascii="Calibri Light" w:hAnsi="Calibri Light" w:eastAsia="Times New Roman"/>
      <w:b/>
      <w:bCs/>
      <w:sz w:val="32"/>
      <w:szCs w:val="32"/>
    </w:rPr>
  </w:style>
  <w:style w:type="paragraph" w:styleId="STALUCIA001">
    <w:name w:val="STALUCIA_001"/>
    <w:basedOn w:val="Normal"/>
    <w:qFormat/>
    <w:pPr>
      <w:spacing w:lineRule="exact" w:line="288" w:before="60" w:after="60"/>
      <w:ind w:left="567" w:right="0" w:hanging="0"/>
    </w:pPr>
    <w:rPr>
      <w:rFonts w:ascii="Arial Narrow" w:hAnsi="Arial Narrow" w:eastAsia="Arial Narrow"/>
      <w:bCs/>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323</TotalTime>
  <Application>LibreOffice/6.4.3.2$Windows_X86_64 LibreOffice_project/747b5d0ebf89f41c860ec2a39efd7cb15b54f2d8</Application>
  <Pages>1</Pages>
  <Words>352</Words>
  <Characters>1812</Characters>
  <CharactersWithSpaces>2150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2023-07-02T08:42:34Z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