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D2" w:rsidRDefault="00CB2E53">
      <w:pPr>
        <w:jc w:val="left"/>
        <w:rPr>
          <w:rFonts w:ascii="Roboto Slab" w:hAnsi="Roboto Slab" w:cs="IBM Plex Sans"/>
          <w:b/>
          <w:bCs/>
          <w:color w:val="2A265A"/>
          <w:sz w:val="36"/>
          <w:szCs w:val="36"/>
        </w:rPr>
      </w:pPr>
      <w:r>
        <w:rPr>
          <w:rFonts w:ascii="Roboto Slab" w:hAnsi="Roboto Slab" w:cs="IBM Plex Sans"/>
          <w:b/>
          <w:bCs/>
          <w:color w:val="2A265A"/>
          <w:sz w:val="36"/>
          <w:szCs w:val="36"/>
        </w:rPr>
        <w:t xml:space="preserve">Estatutos de la Fundación Municipal de Medios de Comunicación de </w:t>
      </w:r>
      <w:proofErr w:type="spellStart"/>
      <w:r>
        <w:rPr>
          <w:rFonts w:ascii="Roboto Slab" w:hAnsi="Roboto Slab" w:cs="IBM Plex Sans"/>
          <w:b/>
          <w:bCs/>
          <w:color w:val="2A265A"/>
          <w:sz w:val="36"/>
          <w:szCs w:val="36"/>
        </w:rPr>
        <w:t>Agüimes</w:t>
      </w:r>
      <w:proofErr w:type="spellEnd"/>
      <w:r>
        <w:rPr>
          <w:rFonts w:ascii="Roboto Slab" w:hAnsi="Roboto Slab" w:cs="IBM Plex Sans"/>
          <w:b/>
          <w:bCs/>
          <w:color w:val="2A265A"/>
          <w:sz w:val="36"/>
          <w:szCs w:val="36"/>
        </w:rPr>
        <w:t>.</w:t>
      </w:r>
    </w:p>
    <w:p w:rsidR="004F37D2" w:rsidRDefault="00CB2E53">
      <w:pPr>
        <w:jc w:val="left"/>
        <w:rPr>
          <w:rFonts w:ascii="Roboto Slab" w:hAnsi="Roboto Slab" w:cs="IBM Plex Sans"/>
          <w:color w:val="2A265A"/>
          <w:sz w:val="22"/>
          <w:szCs w:val="22"/>
        </w:rPr>
      </w:pPr>
      <w:r>
        <w:rPr>
          <w:rFonts w:ascii="Roboto Slab" w:hAnsi="Roboto Slab" w:cs="IBM Plex Sans"/>
          <w:color w:val="2A265A"/>
          <w:sz w:val="22"/>
          <w:szCs w:val="22"/>
        </w:rPr>
        <w:t>(Boletín Oficial de la Provincia de Las Palmas, n</w:t>
      </w:r>
      <w:proofErr w:type="gramStart"/>
      <w:r>
        <w:rPr>
          <w:rFonts w:ascii="Roboto Slab" w:hAnsi="Roboto Slab" w:cs="IBM Plex Sans"/>
          <w:color w:val="2A265A"/>
          <w:sz w:val="22"/>
          <w:szCs w:val="22"/>
        </w:rPr>
        <w:t>.º</w:t>
      </w:r>
      <w:proofErr w:type="gramEnd"/>
      <w:r>
        <w:rPr>
          <w:rFonts w:ascii="Roboto Slab" w:hAnsi="Roboto Slab" w:cs="IBM Plex Sans"/>
          <w:color w:val="2A265A"/>
          <w:sz w:val="22"/>
          <w:szCs w:val="22"/>
        </w:rPr>
        <w:t xml:space="preserve"> 146, viernes 26 de noviembre de 2004)</w:t>
      </w:r>
    </w:p>
    <w:p w:rsidR="004F37D2" w:rsidRDefault="00EB25A4">
      <w:pPr>
        <w:jc w:val="left"/>
        <w:rPr>
          <w:rFonts w:ascii="IBM Plex Sans" w:hAnsi="IBM Plex Sans" w:cs="IBM Plex Sans"/>
          <w:sz w:val="22"/>
          <w:szCs w:val="22"/>
        </w:rPr>
      </w:pPr>
      <w:r>
        <w:rPr>
          <w:rFonts w:ascii="IBM Plex Sans" w:hAnsi="IBM Plex Sans" w:cs="IBM Plex Sans"/>
          <w:b/>
          <w:bCs/>
          <w:sz w:val="22"/>
          <w:szCs w:val="22"/>
        </w:rPr>
        <w:t>…</w:t>
      </w:r>
    </w:p>
    <w:p w:rsidR="004F37D2" w:rsidRDefault="004F37D2">
      <w:pPr>
        <w:jc w:val="left"/>
        <w:rPr>
          <w:rFonts w:ascii="IBM Plex Sans" w:hAnsi="IBM Plex Sans" w:cs="IBM Plex Sans"/>
          <w:b/>
          <w:bCs/>
          <w:sz w:val="22"/>
          <w:szCs w:val="22"/>
        </w:rPr>
      </w:pPr>
    </w:p>
    <w:p w:rsidR="004F37D2" w:rsidRDefault="00CB2E53">
      <w:pPr>
        <w:jc w:val="left"/>
        <w:rPr>
          <w:rFonts w:ascii="IBM Plex Sans" w:hAnsi="IBM Plex Sans" w:cs="IBM Plex Sans"/>
          <w:sz w:val="22"/>
          <w:szCs w:val="22"/>
        </w:rPr>
      </w:pPr>
      <w:r>
        <w:rPr>
          <w:rFonts w:ascii="IBM Plex Sans" w:hAnsi="IBM Plex Sans" w:cs="IBM Plex Sans"/>
          <w:b/>
          <w:bCs/>
          <w:sz w:val="22"/>
          <w:szCs w:val="22"/>
        </w:rPr>
        <w:t>CAPÍTULO III. PATRIMONIO Y RÉGIMEN ECONÓMICO.</w:t>
      </w: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22.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El Patrimonio de la Fundación estará integrado por los bienes y derechos que el Ilustre Ayuntamiento de la Villa de </w:t>
      </w:r>
      <w:proofErr w:type="spellStart"/>
      <w:r>
        <w:rPr>
          <w:rFonts w:ascii="IBM Plex Sans" w:hAnsi="IBM Plex Sans" w:cs="IBM Plex Sans"/>
          <w:sz w:val="22"/>
          <w:szCs w:val="22"/>
        </w:rPr>
        <w:t>Agüimes</w:t>
      </w:r>
      <w:proofErr w:type="spellEnd"/>
      <w:r>
        <w:rPr>
          <w:rFonts w:ascii="IBM Plex Sans" w:hAnsi="IBM Plex Sans" w:cs="IBM Plex Sans"/>
          <w:sz w:val="22"/>
          <w:szCs w:val="22"/>
        </w:rPr>
        <w:t xml:space="preserve"> adscriba al mismo para él cumplimiento de sus fines y los que la Fundación adquiera con sus propios fondos.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Artículo 23.</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Fundación, a través del Patronato podrá solicitar del Ayuntamiento la, adscripción de bienes propiedad del mismo, por lo que la Fundación, no adquirirá la propiedad de dichos bienes, sino sólo su posesión y habrá de utilizarlos exclusivamente para los fines que determine la adscripción.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b/>
          <w:bCs/>
          <w:sz w:val="22"/>
          <w:szCs w:val="22"/>
        </w:rPr>
        <w:t>Artículo 24.</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Los acuerdos de adscripción se someterán por el Patronato a la Comisión de Gobierno y se adoptarán 17842 Boletín Oficial de la Provincia de Las Palmas. Número 146, viernes 26 de noviembre de 2004 en virtud de discrecional ponderación de las razones aducidas por la Fundación, expresando el fin a que los bienes sean destinados.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Si los bienes adscritos no fuesen destinados al uso previsto dentro del plazo señalado en el acuerdo de adscripción, dejarán de serlo posteriormente, se considerará resuelta la adscripción y revertirán aquellos al Ayuntamiento, el cual tendrá derecho, además a percibir de la Fundación, el valor de los detrimentos o deterioros experimentados por los mismos.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25.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Corresponderá al Ayuntamiento, a través de su intervención, fiscalizar la aplicación de los bienes adscritos a la Fundación, al fin para el que fueron cedidos y promover, en su caso, la reincorporación al Ayuntamiento.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26.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El Patronato deberá levantar y tener al día el correspondiente inventario de altas y bajas, de los bienes que disponga, el cual se someterá anualmente a la aprobación del Ayuntamiento. </w:t>
      </w:r>
    </w:p>
    <w:p w:rsidR="004F37D2" w:rsidRDefault="004F37D2">
      <w:pPr>
        <w:jc w:val="left"/>
        <w:rPr>
          <w:b/>
          <w:bCs/>
        </w:rPr>
      </w:pPr>
    </w:p>
    <w:p w:rsidR="004F37D2" w:rsidRDefault="00CB2E53">
      <w:pPr>
        <w:jc w:val="left"/>
        <w:rPr>
          <w:rFonts w:ascii="IBM Plex Sans" w:hAnsi="IBM Plex Sans" w:cs="IBM Plex Sans"/>
          <w:sz w:val="22"/>
          <w:szCs w:val="22"/>
        </w:rPr>
      </w:pPr>
      <w:r>
        <w:rPr>
          <w:rFonts w:ascii="IBM Plex Sans" w:hAnsi="IBM Plex Sans" w:cs="IBM Plex Sans"/>
          <w:b/>
          <w:bCs/>
          <w:sz w:val="22"/>
          <w:szCs w:val="22"/>
        </w:rPr>
        <w:t xml:space="preserve">Artículo 27. </w:t>
      </w:r>
    </w:p>
    <w:p w:rsidR="004F37D2" w:rsidRDefault="00CB2E53">
      <w:pPr>
        <w:jc w:val="left"/>
        <w:rPr>
          <w:rFonts w:ascii="IBM Plex Sans" w:hAnsi="IBM Plex Sans" w:cs="IBM Plex Sans"/>
          <w:sz w:val="22"/>
          <w:szCs w:val="22"/>
        </w:rPr>
      </w:pPr>
      <w:r>
        <w:rPr>
          <w:rFonts w:ascii="IBM Plex Sans" w:hAnsi="IBM Plex Sans" w:cs="IBM Plex Sans"/>
          <w:sz w:val="22"/>
          <w:szCs w:val="22"/>
        </w:rPr>
        <w:lastRenderedPageBreak/>
        <w:t xml:space="preserve">La Fundación deberá ejercer cuantos derechos y prerrogativas sean necesarias a efectos de conservación, correcta administración y defensa de dichos bienes.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28.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Fundación podrá adquirir a título oneroso o gratuito, poseer, arrendar bienes y derechos de cualquier clase, incorporándose al patrimonio del Ayuntamiento aquellos bienes que resulten innecesarios para el cumplimiento de sus fines.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adquisición de bienes inmuebles </w:t>
      </w:r>
      <w:proofErr w:type="gramStart"/>
      <w:r>
        <w:rPr>
          <w:rFonts w:ascii="IBM Plex Sans" w:hAnsi="IBM Plex Sans" w:cs="IBM Plex Sans"/>
          <w:sz w:val="22"/>
          <w:szCs w:val="22"/>
        </w:rPr>
        <w:t>requerirán</w:t>
      </w:r>
      <w:proofErr w:type="gramEnd"/>
      <w:r>
        <w:rPr>
          <w:rFonts w:ascii="IBM Plex Sans" w:hAnsi="IBM Plex Sans" w:cs="IBM Plex Sans"/>
          <w:sz w:val="22"/>
          <w:szCs w:val="22"/>
        </w:rPr>
        <w:t xml:space="preserve"> informe previo favorable del Patronato y acuerdo del Ayuntamiento en Pleno.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29.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Fundación, a través del Patronato, podrá celebrar todo tipo de contratos, siempre con la aprobación del Concejal delegado de la Concejalía a la que se encuentra adscrita, y acuerdo del Ayuntamiento en Pleno, rigiéndose por las normas generales de la contratación de la Administraciones públicas, y por lo dispuesto en los presentes estatutos.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b/>
          <w:bCs/>
          <w:sz w:val="22"/>
          <w:szCs w:val="22"/>
        </w:rPr>
        <w:t>Artículo 30.</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Fundación Municipal de comunicaciones, tendrá como recursos económicos para el cumplimiento de sus fines, los siguientes: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a) La consignación que para este fin figure en el Presupuesto Municipal Ordinario.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b) Las subvenciones que puedan obtenerse del Excmo. Cabildo Insular de Gran Canaria, del Estado y de la Comunidad Autónoma de Canarias.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c) Las aportaciones de cualquier clase y tipo, procedentes de entidades públicas y privadas, así como de toda clase de personas jurídicas o físicas.</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d) Los productos de su Fundación.</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e) Rendimientos de servicios.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f) Auxilios y donativos.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g) Créditos de entidades oficiales o particulares.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h) Cualesquiera otros legalmente autorizados.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i) dispondrán de los ingresos propios que se les autorice a tener, así como de las restantes dotaciones que puedan recibir. Los excedentes o superávit serán destinados a mejoras, colaboraciones, etc. así como reservas para cubrir posibles déficit futuros.</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lastRenderedPageBreak/>
        <w:t xml:space="preserve">Artículo 31.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El régimen presupuestario, económico - financiero de contabilidad, intervención y de control será el establecido por la Ley General Presupuestaria y por los presentes estatutos.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32. </w:t>
      </w:r>
    </w:p>
    <w:p w:rsidR="004F37D2" w:rsidRDefault="00CB2E53">
      <w:pPr>
        <w:jc w:val="left"/>
        <w:rPr>
          <w:rFonts w:ascii="IBM Plex Sans" w:hAnsi="IBM Plex Sans" w:cs="IBM Plex Sans"/>
          <w:sz w:val="22"/>
          <w:szCs w:val="22"/>
        </w:rPr>
      </w:pPr>
      <w:r>
        <w:rPr>
          <w:rFonts w:ascii="IBM Plex Sans" w:hAnsi="IBM Plex Sans" w:cs="IBM Plex Sans"/>
          <w:sz w:val="22"/>
          <w:szCs w:val="22"/>
        </w:rPr>
        <w:t>1. La Fundación elaborará anualmente un presupuesto que se nutrirá con los ingresos previstos y se sujetará a aquello que dispongan las normas vigentes dé régimen local.</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2. El proyecto de Presupuesto será aprobado inicialmente por el Patronato, tomando como base el Anteproyecto elaborado por el interventor, de fondos del Ayuntamiento y Gerente-Coordinador. El citado proyecto será elevado al Ayuntamiento en Pleno para su aprobación definitiva.</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33.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Los fondos de la Fundación se custodiarán por el Tesorero Municipal, en cuentas bancarias debidamente intervenidas y abiertas a nombre de aquélla, que se adaptaran a lo que prescribe la vigente normativa sobre la materia.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No podrán extraerse fondos, de dichas cuentas. Sino mediante talón u orden de pago o transferencia, firmados por el Presidente, el tesorero y el Interventor.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34.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Fundación podrá formar Presupuestos de Inversiones, para realizar obras o atender gastos de primer establecimiento que se originen por circunstancias concretas, los cuales podrán nutrirse mediante operaciones de crédito con lo dispuesto en el artículo 24 de estos estatutos y con lo dispuesto en las normas aplicables de régimen local.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35.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Los ingresos y gastos de la Fundación Municipal de Medios de Comunicación serán intervenidos y contabilizados por el interventor de fondos del Ayuntamiento o funcionario que le sustituya, el cual ejercerá la correspondiente fiscalización dé la gestión económica.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36. </w:t>
      </w:r>
    </w:p>
    <w:p w:rsidR="004F37D2" w:rsidRDefault="00CB2E53">
      <w:pPr>
        <w:jc w:val="left"/>
        <w:rPr>
          <w:rFonts w:ascii="IBM Plex Sans" w:hAnsi="IBM Plex Sans" w:cs="IBM Plex Sans"/>
          <w:sz w:val="22"/>
          <w:szCs w:val="22"/>
        </w:rPr>
      </w:pPr>
      <w:r>
        <w:rPr>
          <w:rFonts w:ascii="IBM Plex Sans" w:hAnsi="IBM Plex Sans" w:cs="IBM Plex Sans"/>
          <w:sz w:val="22"/>
          <w:szCs w:val="22"/>
        </w:rPr>
        <w:t xml:space="preserve">La contabilidad se desarrollará en forma que permita el estudio del coste y rendimiento de los servicios y adaptada a la legislación vigente. </w:t>
      </w:r>
    </w:p>
    <w:p w:rsidR="004F37D2" w:rsidRDefault="004F37D2">
      <w:pPr>
        <w:jc w:val="left"/>
        <w:rPr>
          <w:rFonts w:ascii="IBM Plex Sans" w:hAnsi="IBM Plex Sans" w:cs="IBM Plex Sans"/>
          <w:sz w:val="22"/>
          <w:szCs w:val="22"/>
        </w:rPr>
      </w:pPr>
    </w:p>
    <w:p w:rsidR="004F37D2" w:rsidRDefault="00CB2E53">
      <w:pPr>
        <w:jc w:val="left"/>
        <w:rPr>
          <w:rFonts w:ascii="IBM Plex Sans" w:hAnsi="IBM Plex Sans" w:cs="IBM Plex Sans"/>
          <w:b/>
          <w:bCs/>
          <w:sz w:val="22"/>
          <w:szCs w:val="22"/>
        </w:rPr>
      </w:pPr>
      <w:r>
        <w:rPr>
          <w:rFonts w:ascii="IBM Plex Sans" w:hAnsi="IBM Plex Sans" w:cs="IBM Plex Sans"/>
          <w:b/>
          <w:bCs/>
          <w:sz w:val="22"/>
          <w:szCs w:val="22"/>
        </w:rPr>
        <w:t xml:space="preserve">Artículo 37. </w:t>
      </w:r>
    </w:p>
    <w:p w:rsidR="004F37D2" w:rsidRDefault="00CB2E53">
      <w:pPr>
        <w:jc w:val="left"/>
        <w:rPr>
          <w:rFonts w:ascii="IBM Plex Sans" w:hAnsi="IBM Plex Sans" w:cs="IBM Plex Sans"/>
          <w:sz w:val="22"/>
          <w:szCs w:val="22"/>
        </w:rPr>
      </w:pPr>
      <w:r>
        <w:rPr>
          <w:rFonts w:ascii="IBM Plex Sans" w:hAnsi="IBM Plex Sans" w:cs="IBM Plex Sans"/>
          <w:sz w:val="22"/>
          <w:szCs w:val="22"/>
        </w:rPr>
        <w:t>La rendición de cuentas, corresponderá al Patronato mediante balance anual que se someterá a la aprobación del Pleno del Ayuntamiento.</w:t>
      </w:r>
    </w:p>
    <w:p w:rsidR="004F37D2" w:rsidRDefault="00EB25A4">
      <w:pPr>
        <w:jc w:val="left"/>
        <w:rPr>
          <w:rFonts w:ascii="IBM Plex Sans" w:hAnsi="IBM Plex Sans" w:cs="IBM Plex Sans"/>
          <w:sz w:val="22"/>
          <w:szCs w:val="22"/>
        </w:rPr>
      </w:pPr>
      <w:r>
        <w:rPr>
          <w:rFonts w:ascii="IBM Plex Sans" w:hAnsi="IBM Plex Sans" w:cs="IBM Plex Sans"/>
          <w:b/>
          <w:bCs/>
          <w:sz w:val="22"/>
          <w:szCs w:val="22"/>
        </w:rPr>
        <w:t>…</w:t>
      </w:r>
      <w:r w:rsidR="00CB2E53">
        <w:rPr>
          <w:rFonts w:ascii="IBM Plex Sans" w:hAnsi="IBM Plex Sans" w:cs="IBM Plex Sans"/>
          <w:sz w:val="22"/>
          <w:szCs w:val="22"/>
        </w:rPr>
        <w:t xml:space="preserve"> </w:t>
      </w:r>
    </w:p>
    <w:sectPr w:rsidR="004F37D2" w:rsidSect="007117E1">
      <w:headerReference w:type="default" r:id="rId7"/>
      <w:footerReference w:type="default" r:id="rId8"/>
      <w:pgSz w:w="11906" w:h="16838"/>
      <w:pgMar w:top="1701" w:right="1701" w:bottom="1960" w:left="1701" w:header="708" w:footer="141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D2" w:rsidRDefault="004F37D2" w:rsidP="004F37D2">
      <w:r>
        <w:separator/>
      </w:r>
    </w:p>
  </w:endnote>
  <w:endnote w:type="continuationSeparator" w:id="0">
    <w:p w:rsidR="004F37D2" w:rsidRDefault="004F37D2" w:rsidP="004F37D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Roboto Slab">
    <w:altName w:val="Times New Roman"/>
    <w:panose1 w:val="00000000000000000000"/>
    <w:charset w:val="00"/>
    <w:family w:val="auto"/>
    <w:pitch w:val="variable"/>
    <w:sig w:usb0="200002FF" w:usb1="0000005B" w:usb2="00000020" w:usb3="00000000" w:csb0="0000019F" w:csb1="00000000"/>
  </w:font>
  <w:font w:name="IBM Plex Sans">
    <w:altName w:val="Arial"/>
    <w:panose1 w:val="020B0503050203000203"/>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D2" w:rsidRDefault="00CB2E53">
    <w:pPr>
      <w:jc w:val="right"/>
      <w:rPr>
        <w:rFonts w:ascii="IBM Plex Sans" w:eastAsia="IBM Plex Sans" w:hAnsi="IBM Plex Sans" w:cs="IBM Plex Sans"/>
        <w:b/>
        <w:bCs/>
        <w:sz w:val="20"/>
        <w:szCs w:val="20"/>
      </w:rPr>
    </w:pPr>
    <w:r>
      <w:rPr>
        <w:rFonts w:ascii="IBM Plex Sans" w:eastAsia="IBM Plex Sans" w:hAnsi="IBM Plex Sans" w:cs="IBM Plex Sans"/>
        <w:b/>
        <w:bCs/>
        <w:sz w:val="20"/>
        <w:szCs w:val="20"/>
      </w:rPr>
      <w:t>Portal de Transparencia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D2" w:rsidRDefault="004F37D2" w:rsidP="004F37D2">
      <w:r>
        <w:separator/>
      </w:r>
    </w:p>
  </w:footnote>
  <w:footnote w:type="continuationSeparator" w:id="0">
    <w:p w:rsidR="004F37D2" w:rsidRDefault="004F37D2" w:rsidP="004F3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D2" w:rsidRDefault="00CB2E53">
    <w:pPr>
      <w:pStyle w:val="Header"/>
    </w:pPr>
    <w:r>
      <w:rPr>
        <w:noProof/>
        <w:lang w:eastAsia="es-ES"/>
      </w:rPr>
      <w:drawing>
        <wp:anchor distT="0" distB="0" distL="0" distR="0" simplePos="0" relativeHeight="14" behindDoc="0" locked="0" layoutInCell="1" allowOverlap="1">
          <wp:simplePos x="0" y="0"/>
          <wp:positionH relativeFrom="column">
            <wp:posOffset>-809625</wp:posOffset>
          </wp:positionH>
          <wp:positionV relativeFrom="paragraph">
            <wp:posOffset>-360045</wp:posOffset>
          </wp:positionV>
          <wp:extent cx="7019925" cy="131699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rcRect l="-3" t="-16" r="-3" b="-16"/>
                  <a:stretch>
                    <a:fillRect/>
                  </a:stretch>
                </pic:blipFill>
                <pic:spPr bwMode="auto">
                  <a:xfrm>
                    <a:off x="0" y="0"/>
                    <a:ext cx="7019925" cy="1316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34F2"/>
    <w:multiLevelType w:val="multilevel"/>
    <w:tmpl w:val="DDAA3C24"/>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F37D2"/>
    <w:rsid w:val="004F37D2"/>
    <w:rsid w:val="007117E1"/>
    <w:rsid w:val="007E5F47"/>
    <w:rsid w:val="00882258"/>
    <w:rsid w:val="00CB2E53"/>
    <w:rsid w:val="00EB25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D2"/>
    <w:pPr>
      <w:widowControl w:val="0"/>
      <w:jc w:val="both"/>
    </w:pPr>
    <w:rPr>
      <w:rFonts w:ascii="Calibri" w:eastAsia="Times New Roman" w:hAnsi="Calibri" w:cs="Calibri"/>
      <w:color w:val="00000A"/>
      <w:kern w:val="2"/>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4F37D2"/>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qFormat/>
    <w:rsid w:val="004F37D2"/>
  </w:style>
  <w:style w:type="character" w:customStyle="1" w:styleId="WW8Num1z1">
    <w:name w:val="WW8Num1z1"/>
    <w:qFormat/>
    <w:rsid w:val="004F37D2"/>
  </w:style>
  <w:style w:type="character" w:customStyle="1" w:styleId="WW8Num1z2">
    <w:name w:val="WW8Num1z2"/>
    <w:qFormat/>
    <w:rsid w:val="004F37D2"/>
  </w:style>
  <w:style w:type="character" w:customStyle="1" w:styleId="WW8Num1z3">
    <w:name w:val="WW8Num1z3"/>
    <w:qFormat/>
    <w:rsid w:val="004F37D2"/>
  </w:style>
  <w:style w:type="character" w:customStyle="1" w:styleId="WW8Num1z4">
    <w:name w:val="WW8Num1z4"/>
    <w:qFormat/>
    <w:rsid w:val="004F37D2"/>
  </w:style>
  <w:style w:type="character" w:customStyle="1" w:styleId="WW8Num1z5">
    <w:name w:val="WW8Num1z5"/>
    <w:qFormat/>
    <w:rsid w:val="004F37D2"/>
  </w:style>
  <w:style w:type="character" w:customStyle="1" w:styleId="WW8Num1z6">
    <w:name w:val="WW8Num1z6"/>
    <w:qFormat/>
    <w:rsid w:val="004F37D2"/>
  </w:style>
  <w:style w:type="character" w:customStyle="1" w:styleId="WW8Num1z7">
    <w:name w:val="WW8Num1z7"/>
    <w:qFormat/>
    <w:rsid w:val="004F37D2"/>
  </w:style>
  <w:style w:type="character" w:customStyle="1" w:styleId="WW8Num1z8">
    <w:name w:val="WW8Num1z8"/>
    <w:qFormat/>
    <w:rsid w:val="004F37D2"/>
  </w:style>
  <w:style w:type="character" w:customStyle="1" w:styleId="WW8Num2z0">
    <w:name w:val="WW8Num2z0"/>
    <w:qFormat/>
    <w:rsid w:val="004F37D2"/>
    <w:rPr>
      <w:rFonts w:ascii="Symbol" w:hAnsi="Symbol" w:cs="OpenSymbol;Arial Unicode MS"/>
    </w:rPr>
  </w:style>
  <w:style w:type="character" w:customStyle="1" w:styleId="Ttulo1Car">
    <w:name w:val="Título 1 Car"/>
    <w:basedOn w:val="Fuentedeprrafopredeter"/>
    <w:qFormat/>
    <w:rsid w:val="004F37D2"/>
    <w:rPr>
      <w:rFonts w:ascii="Calibri Light" w:eastAsia="Calibri" w:hAnsi="Calibri Light" w:cs="Calibri Light"/>
      <w:b/>
      <w:bCs/>
      <w:color w:val="2E74B5"/>
      <w:kern w:val="2"/>
      <w:sz w:val="28"/>
      <w:szCs w:val="28"/>
    </w:rPr>
  </w:style>
  <w:style w:type="character" w:customStyle="1" w:styleId="TextoindependienteCar">
    <w:name w:val="Texto independiente Car"/>
    <w:basedOn w:val="Fuentedeprrafopredeter"/>
    <w:qFormat/>
    <w:rsid w:val="004F37D2"/>
    <w:rPr>
      <w:rFonts w:ascii="Calibri" w:eastAsia="Times New Roman" w:hAnsi="Calibri" w:cs="Calibri"/>
      <w:kern w:val="2"/>
      <w:sz w:val="24"/>
      <w:szCs w:val="24"/>
    </w:rPr>
  </w:style>
  <w:style w:type="character" w:customStyle="1" w:styleId="EncabezadoCar">
    <w:name w:val="Encabezado Car"/>
    <w:basedOn w:val="Fuentedeprrafopredeter"/>
    <w:qFormat/>
    <w:rsid w:val="004F37D2"/>
    <w:rPr>
      <w:rFonts w:ascii="Calibri" w:eastAsia="Times New Roman" w:hAnsi="Calibri" w:cs="Calibri"/>
      <w:kern w:val="2"/>
      <w:sz w:val="24"/>
      <w:szCs w:val="24"/>
    </w:rPr>
  </w:style>
  <w:style w:type="character" w:customStyle="1" w:styleId="PiedepginaCar">
    <w:name w:val="Pie de página Car"/>
    <w:basedOn w:val="Fuentedeprrafopredeter"/>
    <w:qFormat/>
    <w:rsid w:val="004F37D2"/>
    <w:rPr>
      <w:rFonts w:ascii="Calibri" w:eastAsia="Times New Roman" w:hAnsi="Calibri" w:cs="Calibri"/>
      <w:kern w:val="2"/>
      <w:sz w:val="24"/>
      <w:szCs w:val="24"/>
    </w:rPr>
  </w:style>
  <w:style w:type="character" w:customStyle="1" w:styleId="WW8Num4z3">
    <w:name w:val="WW8Num4z3"/>
    <w:qFormat/>
    <w:rsid w:val="004F37D2"/>
    <w:rPr>
      <w:rFonts w:ascii="Symbol" w:hAnsi="Symbol" w:cs="Symbol"/>
    </w:rPr>
  </w:style>
  <w:style w:type="character" w:customStyle="1" w:styleId="WW8Num4z2">
    <w:name w:val="WW8Num4z2"/>
    <w:qFormat/>
    <w:rsid w:val="004F37D2"/>
    <w:rPr>
      <w:rFonts w:ascii="Wingdings" w:hAnsi="Wingdings" w:cs="Wingdings"/>
    </w:rPr>
  </w:style>
  <w:style w:type="character" w:customStyle="1" w:styleId="WW8Num4z1">
    <w:name w:val="WW8Num4z1"/>
    <w:qFormat/>
    <w:rsid w:val="004F37D2"/>
    <w:rPr>
      <w:rFonts w:ascii="Courier New" w:hAnsi="Courier New" w:cs="Courier New"/>
    </w:rPr>
  </w:style>
  <w:style w:type="character" w:customStyle="1" w:styleId="WW8Num4z0">
    <w:name w:val="WW8Num4z0"/>
    <w:qFormat/>
    <w:rsid w:val="004F37D2"/>
    <w:rPr>
      <w:rFonts w:ascii="Times New Roman" w:eastAsia="Times New Roman" w:hAnsi="Times New Roman" w:cs="Times New Roman"/>
    </w:rPr>
  </w:style>
  <w:style w:type="character" w:customStyle="1" w:styleId="Vietas">
    <w:name w:val="Viñetas"/>
    <w:qFormat/>
    <w:rsid w:val="004F37D2"/>
    <w:rPr>
      <w:rFonts w:ascii="OpenSymbol;Arial Unicode MS" w:eastAsia="OpenSymbol;Arial Unicode MS" w:hAnsi="OpenSymbol;Arial Unicode MS" w:cs="OpenSymbol;Arial Unicode MS"/>
    </w:rPr>
  </w:style>
  <w:style w:type="character" w:customStyle="1" w:styleId="EnlacedeInternet">
    <w:name w:val="Enlace de Internet"/>
    <w:rsid w:val="004F37D2"/>
    <w:rPr>
      <w:color w:val="000080"/>
      <w:u w:val="single"/>
    </w:rPr>
  </w:style>
  <w:style w:type="character" w:customStyle="1" w:styleId="Smbolosdenumeracin">
    <w:name w:val="Símbolos de numeración"/>
    <w:qFormat/>
    <w:rsid w:val="004F37D2"/>
  </w:style>
  <w:style w:type="paragraph" w:styleId="Ttulo">
    <w:name w:val="Title"/>
    <w:basedOn w:val="Normal"/>
    <w:next w:val="Textoindependiente"/>
    <w:qFormat/>
    <w:rsid w:val="004F37D2"/>
    <w:pPr>
      <w:keepNext/>
      <w:spacing w:before="240" w:after="120"/>
    </w:pPr>
    <w:rPr>
      <w:rFonts w:ascii="Liberation Sans;Arial" w:eastAsia="Microsoft YaHei" w:hAnsi="Liberation Sans;Arial" w:cs="Mangal"/>
      <w:sz w:val="28"/>
      <w:szCs w:val="28"/>
    </w:rPr>
  </w:style>
  <w:style w:type="paragraph" w:styleId="Textoindependiente">
    <w:name w:val="Body Text"/>
    <w:basedOn w:val="Normal"/>
    <w:rsid w:val="004F37D2"/>
    <w:pPr>
      <w:spacing w:after="120"/>
    </w:pPr>
  </w:style>
  <w:style w:type="paragraph" w:styleId="Lista">
    <w:name w:val="List"/>
    <w:basedOn w:val="Textoindependiente"/>
    <w:rsid w:val="004F37D2"/>
    <w:rPr>
      <w:rFonts w:cs="Mangal"/>
    </w:rPr>
  </w:style>
  <w:style w:type="paragraph" w:customStyle="1" w:styleId="Caption">
    <w:name w:val="Caption"/>
    <w:basedOn w:val="Normal"/>
    <w:qFormat/>
    <w:rsid w:val="004F37D2"/>
    <w:pPr>
      <w:suppressLineNumbers/>
      <w:spacing w:before="120" w:after="120"/>
    </w:pPr>
    <w:rPr>
      <w:rFonts w:cs="Mangal"/>
      <w:i/>
      <w:iCs/>
    </w:rPr>
  </w:style>
  <w:style w:type="paragraph" w:customStyle="1" w:styleId="ndice">
    <w:name w:val="Índice"/>
    <w:basedOn w:val="Normal"/>
    <w:qFormat/>
    <w:rsid w:val="004F37D2"/>
    <w:pPr>
      <w:suppressLineNumbers/>
    </w:pPr>
    <w:rPr>
      <w:rFonts w:cs="Mangal"/>
    </w:rPr>
  </w:style>
  <w:style w:type="paragraph" w:customStyle="1" w:styleId="Ttulo1">
    <w:name w:val="Título1"/>
    <w:basedOn w:val="Normal"/>
    <w:next w:val="Textoindependiente"/>
    <w:qFormat/>
    <w:rsid w:val="004F37D2"/>
    <w:pPr>
      <w:keepNext/>
      <w:spacing w:before="240" w:after="120"/>
    </w:pPr>
    <w:rPr>
      <w:rFonts w:ascii="Liberation Sans;Arial" w:eastAsia="Microsoft YaHei" w:hAnsi="Liberation Sans;Arial" w:cs="Mangal"/>
      <w:sz w:val="28"/>
      <w:szCs w:val="28"/>
    </w:rPr>
  </w:style>
  <w:style w:type="paragraph" w:styleId="Epgrafe">
    <w:name w:val="caption"/>
    <w:basedOn w:val="Normal"/>
    <w:qFormat/>
    <w:rsid w:val="004F37D2"/>
    <w:pPr>
      <w:suppressLineNumbers/>
      <w:spacing w:before="120" w:after="120"/>
    </w:pPr>
    <w:rPr>
      <w:rFonts w:cs="Mangal"/>
      <w:i/>
      <w:iCs/>
    </w:rPr>
  </w:style>
  <w:style w:type="paragraph" w:customStyle="1" w:styleId="Cabeceraypie">
    <w:name w:val="Cabecera y pie"/>
    <w:basedOn w:val="Normal"/>
    <w:qFormat/>
    <w:rsid w:val="004F37D2"/>
    <w:pPr>
      <w:suppressLineNumbers/>
      <w:tabs>
        <w:tab w:val="center" w:pos="4819"/>
        <w:tab w:val="right" w:pos="9638"/>
      </w:tabs>
    </w:pPr>
  </w:style>
  <w:style w:type="paragraph" w:customStyle="1" w:styleId="Header">
    <w:name w:val="Header"/>
    <w:basedOn w:val="Normal"/>
    <w:rsid w:val="004F37D2"/>
    <w:pPr>
      <w:tabs>
        <w:tab w:val="center" w:pos="4252"/>
        <w:tab w:val="right" w:pos="8504"/>
      </w:tabs>
    </w:pPr>
  </w:style>
  <w:style w:type="paragraph" w:customStyle="1" w:styleId="Footer">
    <w:name w:val="Footer"/>
    <w:basedOn w:val="Normal"/>
    <w:rsid w:val="004F37D2"/>
    <w:pPr>
      <w:tabs>
        <w:tab w:val="center" w:pos="4252"/>
        <w:tab w:val="right" w:pos="8504"/>
      </w:tabs>
    </w:pPr>
  </w:style>
  <w:style w:type="paragraph" w:customStyle="1" w:styleId="Contenidodelatabla">
    <w:name w:val="Contenido de la tabla"/>
    <w:basedOn w:val="Normal"/>
    <w:qFormat/>
    <w:rsid w:val="004F37D2"/>
    <w:pPr>
      <w:suppressLineNumbers/>
    </w:pPr>
  </w:style>
  <w:style w:type="paragraph" w:customStyle="1" w:styleId="Ttulodelatabla">
    <w:name w:val="Título de la tabla"/>
    <w:basedOn w:val="Contenidodelatabla"/>
    <w:qFormat/>
    <w:rsid w:val="004F37D2"/>
    <w:pPr>
      <w:jc w:val="center"/>
    </w:pPr>
    <w:rPr>
      <w:b/>
      <w:bCs/>
    </w:rPr>
  </w:style>
  <w:style w:type="numbering" w:customStyle="1" w:styleId="WW8Num1">
    <w:name w:val="WW8Num1"/>
    <w:qFormat/>
    <w:rsid w:val="004F37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cp:lastModifiedBy>drodriguez</cp:lastModifiedBy>
  <cp:revision>4</cp:revision>
  <dcterms:created xsi:type="dcterms:W3CDTF">2024-07-01T09:04:00Z</dcterms:created>
  <dcterms:modified xsi:type="dcterms:W3CDTF">2024-07-01T09:04:00Z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